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C292" w14:textId="77777777" w:rsidR="0014408D" w:rsidRPr="0014408D" w:rsidRDefault="0014408D" w:rsidP="00144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8D">
        <w:rPr>
          <w:rFonts w:ascii="Times New Roman" w:hAnsi="Times New Roman" w:cs="Times New Roman"/>
          <w:b/>
          <w:sz w:val="28"/>
          <w:szCs w:val="28"/>
        </w:rPr>
        <w:t>UNIVERSITÉ PANTHÉON-ASSAS (PARIS II)</w:t>
      </w:r>
    </w:p>
    <w:p w14:paraId="30EA243F" w14:textId="77777777" w:rsidR="0014408D" w:rsidRPr="0014408D" w:rsidRDefault="0014408D" w:rsidP="00144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4A1F" w14:textId="77777777" w:rsidR="0014408D" w:rsidRPr="0014408D" w:rsidRDefault="0014408D" w:rsidP="00144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8D">
        <w:rPr>
          <w:rFonts w:ascii="Times New Roman" w:hAnsi="Times New Roman" w:cs="Times New Roman"/>
          <w:b/>
          <w:sz w:val="24"/>
          <w:szCs w:val="24"/>
        </w:rPr>
        <w:t>Session de janvier 2021</w:t>
      </w:r>
    </w:p>
    <w:p w14:paraId="5E915ACE" w14:textId="77777777" w:rsidR="0014408D" w:rsidRPr="0014408D" w:rsidRDefault="0014408D" w:rsidP="001440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557EFC" w14:textId="77777777" w:rsidR="0014408D" w:rsidRPr="0014408D" w:rsidRDefault="0014408D" w:rsidP="00144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53D79" w14:textId="77777777" w:rsidR="0014408D" w:rsidRPr="0014408D" w:rsidRDefault="0014408D" w:rsidP="00144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8D">
        <w:rPr>
          <w:rFonts w:ascii="Times New Roman" w:hAnsi="Times New Roman" w:cs="Times New Roman"/>
          <w:b/>
          <w:sz w:val="24"/>
          <w:szCs w:val="24"/>
        </w:rPr>
        <w:t>Troisième année – Droit civil – Droit des contrats spéciaux</w:t>
      </w:r>
    </w:p>
    <w:p w14:paraId="6E442013" w14:textId="77777777" w:rsidR="0014408D" w:rsidRPr="0014408D" w:rsidRDefault="0014408D" w:rsidP="00144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8D">
        <w:rPr>
          <w:rFonts w:ascii="Times New Roman" w:hAnsi="Times New Roman" w:cs="Times New Roman"/>
          <w:b/>
          <w:sz w:val="24"/>
          <w:szCs w:val="24"/>
        </w:rPr>
        <w:t>Cours de Monsieur le Professeur Nicolas MOLFESSIS</w:t>
      </w:r>
    </w:p>
    <w:p w14:paraId="468F5FEE" w14:textId="77777777" w:rsidR="0014408D" w:rsidRPr="0014408D" w:rsidRDefault="0014408D" w:rsidP="001440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FFE03" w14:textId="5AF70DB8" w:rsidR="0014408D" w:rsidRPr="0014408D" w:rsidRDefault="0014408D" w:rsidP="001440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Questionnaire à réponses courtes</w:t>
      </w:r>
      <w:r w:rsidR="000D33F9">
        <w:rPr>
          <w:rFonts w:ascii="Times New Roman" w:hAnsi="Times New Roman" w:cs="Times New Roman"/>
          <w:b/>
          <w:sz w:val="24"/>
          <w:szCs w:val="24"/>
        </w:rPr>
        <w:t xml:space="preserve"> (QRC)</w:t>
      </w:r>
      <w:r w:rsidRPr="0014408D">
        <w:rPr>
          <w:rFonts w:ascii="Times New Roman" w:hAnsi="Times New Roman" w:cs="Times New Roman"/>
          <w:b/>
          <w:sz w:val="24"/>
          <w:szCs w:val="24"/>
        </w:rPr>
        <w:t xml:space="preserve"> – Durée 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4408D">
        <w:rPr>
          <w:rFonts w:ascii="Times New Roman" w:hAnsi="Times New Roman" w:cs="Times New Roman"/>
          <w:b/>
          <w:sz w:val="24"/>
          <w:szCs w:val="24"/>
        </w:rPr>
        <w:t xml:space="preserve"> heure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14:paraId="4EA076AE" w14:textId="77777777" w:rsidR="0014408D" w:rsidRPr="0014408D" w:rsidRDefault="0014408D" w:rsidP="0014408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4BF70A" w14:textId="4BEC9A65" w:rsidR="00CB57B5" w:rsidRPr="00371BA9" w:rsidRDefault="0014408D" w:rsidP="00371BA9">
      <w:p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4408D">
        <w:rPr>
          <w:rFonts w:ascii="Times New Roman" w:hAnsi="Times New Roman" w:cs="Times New Roman"/>
          <w:i/>
          <w:sz w:val="23"/>
          <w:szCs w:val="23"/>
          <w:u w:val="single"/>
        </w:rPr>
        <w:t>Instructions</w:t>
      </w:r>
      <w:r w:rsidRPr="0014408D">
        <w:rPr>
          <w:rFonts w:ascii="Times New Roman" w:hAnsi="Times New Roman" w:cs="Times New Roman"/>
          <w:i/>
          <w:sz w:val="23"/>
          <w:szCs w:val="23"/>
        </w:rPr>
        <w:t> :</w:t>
      </w:r>
      <w:r w:rsidR="00E5641A">
        <w:rPr>
          <w:rFonts w:ascii="Times New Roman" w:hAnsi="Times New Roman" w:cs="Times New Roman"/>
          <w:i/>
          <w:sz w:val="23"/>
          <w:szCs w:val="23"/>
        </w:rPr>
        <w:t xml:space="preserve"> Veuillez répondre de manière concise et argumentée aux questions ci-dessous</w:t>
      </w:r>
      <w:r w:rsidR="00950EFD">
        <w:rPr>
          <w:rFonts w:ascii="Times New Roman" w:hAnsi="Times New Roman" w:cs="Times New Roman"/>
          <w:i/>
          <w:sz w:val="23"/>
          <w:szCs w:val="23"/>
        </w:rPr>
        <w:t>, en vous appuyant sur vos connaissances personnelles ainsi que sur les dispositions pertinentes du Code civil</w:t>
      </w:r>
      <w:r w:rsidR="009A6709">
        <w:rPr>
          <w:rFonts w:ascii="Times New Roman" w:hAnsi="Times New Roman" w:cs="Times New Roman"/>
          <w:i/>
          <w:sz w:val="23"/>
          <w:szCs w:val="23"/>
        </w:rPr>
        <w:t xml:space="preserve"> et du Code de la consommation</w:t>
      </w:r>
      <w:r w:rsidR="00E5641A">
        <w:rPr>
          <w:rFonts w:ascii="Times New Roman" w:hAnsi="Times New Roman" w:cs="Times New Roman"/>
          <w:i/>
          <w:sz w:val="23"/>
          <w:szCs w:val="23"/>
        </w:rPr>
        <w:t>. Si aucun format particulier n’est exigé, toutes les</w:t>
      </w:r>
      <w:r w:rsidR="00371BA9">
        <w:rPr>
          <w:rFonts w:ascii="Times New Roman" w:hAnsi="Times New Roman" w:cs="Times New Roman"/>
          <w:i/>
          <w:sz w:val="23"/>
          <w:szCs w:val="23"/>
        </w:rPr>
        <w:t xml:space="preserve"> réponses doivent, </w:t>
      </w:r>
      <w:r w:rsidR="00371BA9">
        <w:rPr>
          <w:rFonts w:ascii="Times New Roman" w:hAnsi="Times New Roman" w:cs="Times New Roman"/>
          <w:iCs/>
          <w:sz w:val="23"/>
          <w:szCs w:val="23"/>
        </w:rPr>
        <w:t>a minima</w:t>
      </w:r>
      <w:r w:rsidR="00371BA9">
        <w:rPr>
          <w:rFonts w:ascii="Times New Roman" w:hAnsi="Times New Roman" w:cs="Times New Roman"/>
          <w:i/>
          <w:sz w:val="23"/>
          <w:szCs w:val="23"/>
        </w:rPr>
        <w:t xml:space="preserve">, être intégralement rédigées et justifiées. </w:t>
      </w:r>
    </w:p>
    <w:p w14:paraId="6B7C0E3B" w14:textId="113AE21A" w:rsidR="0014408D" w:rsidRDefault="0014408D" w:rsidP="0014408D">
      <w:pPr>
        <w:rPr>
          <w:rFonts w:ascii="Times New Roman" w:hAnsi="Times New Roman" w:cs="Times New Roman"/>
          <w:i/>
          <w:sz w:val="23"/>
          <w:szCs w:val="23"/>
        </w:rPr>
      </w:pPr>
    </w:p>
    <w:p w14:paraId="1FBFF8D0" w14:textId="5E99F18E" w:rsidR="0014408D" w:rsidRPr="0014408D" w:rsidRDefault="0014408D" w:rsidP="0014408D">
      <w:pPr>
        <w:spacing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14408D">
        <w:rPr>
          <w:rFonts w:ascii="Times New Roman" w:hAnsi="Times New Roman" w:cs="Times New Roman"/>
          <w:b/>
          <w:bCs/>
          <w:i/>
          <w:sz w:val="23"/>
          <w:szCs w:val="23"/>
        </w:rPr>
        <w:t>Aucun document, à l’exception du Code civil</w:t>
      </w:r>
      <w:r w:rsidR="009A6709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et du Code de la consommation</w:t>
      </w:r>
      <w:r w:rsidRPr="0014408D">
        <w:rPr>
          <w:rFonts w:ascii="Times New Roman" w:hAnsi="Times New Roman" w:cs="Times New Roman"/>
          <w:b/>
          <w:bCs/>
          <w:i/>
          <w:sz w:val="23"/>
          <w:szCs w:val="23"/>
        </w:rPr>
        <w:t>, n’est autorisé.</w:t>
      </w:r>
    </w:p>
    <w:p w14:paraId="1B00ABE1" w14:textId="22B8F458" w:rsidR="0014408D" w:rsidRDefault="0014408D" w:rsidP="0014408D">
      <w:pPr>
        <w:rPr>
          <w:iCs/>
        </w:rPr>
      </w:pPr>
    </w:p>
    <w:p w14:paraId="2C8290F6" w14:textId="5A9D255E" w:rsidR="0014408D" w:rsidRDefault="0014408D" w:rsidP="005340D9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01174">
        <w:rPr>
          <w:rFonts w:ascii="Times New Roman" w:hAnsi="Times New Roman" w:cs="Times New Roman"/>
          <w:b/>
          <w:bCs/>
          <w:sz w:val="23"/>
          <w:szCs w:val="23"/>
        </w:rPr>
        <w:t xml:space="preserve">Q1. </w:t>
      </w:r>
      <w:r w:rsidR="00AC0E8D">
        <w:rPr>
          <w:rFonts w:ascii="Times New Roman" w:hAnsi="Times New Roman" w:cs="Times New Roman"/>
          <w:b/>
          <w:bCs/>
          <w:sz w:val="23"/>
          <w:szCs w:val="23"/>
        </w:rPr>
        <w:t xml:space="preserve">Deux parties concluent </w:t>
      </w:r>
      <w:r w:rsidR="00920F74">
        <w:rPr>
          <w:rFonts w:ascii="Times New Roman" w:hAnsi="Times New Roman" w:cs="Times New Roman"/>
          <w:b/>
          <w:bCs/>
          <w:sz w:val="23"/>
          <w:szCs w:val="23"/>
        </w:rPr>
        <w:t>une promesse synallagmatique de vente</w:t>
      </w:r>
      <w:r w:rsidR="00AC0E8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675C7">
        <w:rPr>
          <w:rFonts w:ascii="Times New Roman" w:hAnsi="Times New Roman" w:cs="Times New Roman"/>
          <w:b/>
          <w:bCs/>
          <w:sz w:val="23"/>
          <w:szCs w:val="23"/>
        </w:rPr>
        <w:t xml:space="preserve">immobilière </w:t>
      </w:r>
      <w:r w:rsidR="00FE133E">
        <w:rPr>
          <w:rFonts w:ascii="Times New Roman" w:hAnsi="Times New Roman" w:cs="Times New Roman"/>
          <w:b/>
          <w:bCs/>
          <w:sz w:val="23"/>
          <w:szCs w:val="23"/>
        </w:rPr>
        <w:t>selon laquelle</w:t>
      </w:r>
      <w:r w:rsidR="003675C7">
        <w:rPr>
          <w:rFonts w:ascii="Times New Roman" w:hAnsi="Times New Roman" w:cs="Times New Roman"/>
          <w:b/>
          <w:bCs/>
          <w:sz w:val="23"/>
          <w:szCs w:val="23"/>
        </w:rPr>
        <w:t xml:space="preserve"> le prix </w:t>
      </w:r>
      <w:r w:rsidR="0071212F">
        <w:rPr>
          <w:rFonts w:ascii="Times New Roman" w:hAnsi="Times New Roman" w:cs="Times New Roman"/>
          <w:b/>
          <w:bCs/>
          <w:sz w:val="23"/>
          <w:szCs w:val="23"/>
        </w:rPr>
        <w:t>de la maison</w:t>
      </w:r>
      <w:r w:rsidR="003675C7">
        <w:rPr>
          <w:rFonts w:ascii="Times New Roman" w:hAnsi="Times New Roman" w:cs="Times New Roman"/>
          <w:b/>
          <w:bCs/>
          <w:sz w:val="23"/>
          <w:szCs w:val="23"/>
        </w:rPr>
        <w:t xml:space="preserve"> sera fixé </w:t>
      </w:r>
      <w:r w:rsidR="00920F74">
        <w:rPr>
          <w:rFonts w:ascii="Times New Roman" w:hAnsi="Times New Roman" w:cs="Times New Roman"/>
          <w:b/>
          <w:bCs/>
          <w:sz w:val="23"/>
          <w:szCs w:val="23"/>
        </w:rPr>
        <w:t>au moment de l’accomplissement des formalités</w:t>
      </w:r>
      <w:r w:rsidR="00980E06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920F7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675C7">
        <w:rPr>
          <w:rFonts w:ascii="Times New Roman" w:hAnsi="Times New Roman" w:cs="Times New Roman"/>
          <w:b/>
          <w:bCs/>
          <w:sz w:val="23"/>
          <w:szCs w:val="23"/>
        </w:rPr>
        <w:t xml:space="preserve">par référence au prix de marché dans la commune </w:t>
      </w:r>
      <w:r w:rsidR="0071212F">
        <w:rPr>
          <w:rFonts w:ascii="Times New Roman" w:hAnsi="Times New Roman" w:cs="Times New Roman"/>
          <w:b/>
          <w:bCs/>
          <w:sz w:val="23"/>
          <w:szCs w:val="23"/>
        </w:rPr>
        <w:t xml:space="preserve">pour des biens d’une surface et d’un état comparables, ce prix ne </w:t>
      </w:r>
      <w:r w:rsidR="000A0335">
        <w:rPr>
          <w:rFonts w:ascii="Times New Roman" w:hAnsi="Times New Roman" w:cs="Times New Roman"/>
          <w:b/>
          <w:bCs/>
          <w:sz w:val="23"/>
          <w:szCs w:val="23"/>
        </w:rPr>
        <w:t>pouvant</w:t>
      </w:r>
      <w:r w:rsidR="0071212F">
        <w:rPr>
          <w:rFonts w:ascii="Times New Roman" w:hAnsi="Times New Roman" w:cs="Times New Roman"/>
          <w:b/>
          <w:bCs/>
          <w:sz w:val="23"/>
          <w:szCs w:val="23"/>
        </w:rPr>
        <w:t xml:space="preserve"> en toute hypothèse </w:t>
      </w:r>
      <w:r w:rsidR="005340D9">
        <w:rPr>
          <w:rFonts w:ascii="Times New Roman" w:hAnsi="Times New Roman" w:cs="Times New Roman"/>
          <w:b/>
          <w:bCs/>
          <w:sz w:val="23"/>
          <w:szCs w:val="23"/>
        </w:rPr>
        <w:t xml:space="preserve">dépasser une fourchette allant de 800 000 à 1 200 000 euros. Une telle stipulation est-elle conforme aux exigences relatives à la détermination du prix dans les contrats ? </w:t>
      </w:r>
      <w:r w:rsidR="005340D9">
        <w:rPr>
          <w:rFonts w:ascii="Times New Roman" w:hAnsi="Times New Roman" w:cs="Times New Roman"/>
          <w:sz w:val="23"/>
          <w:szCs w:val="23"/>
        </w:rPr>
        <w:t>(4 points)</w:t>
      </w:r>
    </w:p>
    <w:p w14:paraId="523C6B09" w14:textId="77777777" w:rsidR="004F477B" w:rsidRPr="004F477B" w:rsidRDefault="004F477B" w:rsidP="0014408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507F536A" w14:textId="6ED2D636" w:rsidR="00371BA9" w:rsidRPr="00C3695B" w:rsidRDefault="00371BA9" w:rsidP="003675C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Q2.</w:t>
      </w:r>
      <w:r w:rsidR="000D33F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8184C">
        <w:rPr>
          <w:rFonts w:ascii="Times New Roman" w:hAnsi="Times New Roman" w:cs="Times New Roman"/>
          <w:b/>
          <w:bCs/>
          <w:sz w:val="23"/>
          <w:szCs w:val="23"/>
        </w:rPr>
        <w:t xml:space="preserve">Un couple conclut </w:t>
      </w:r>
      <w:r w:rsidR="006B30D7">
        <w:rPr>
          <w:rFonts w:ascii="Times New Roman" w:hAnsi="Times New Roman" w:cs="Times New Roman"/>
          <w:b/>
          <w:bCs/>
          <w:sz w:val="23"/>
          <w:szCs w:val="23"/>
        </w:rPr>
        <w:t xml:space="preserve">avec le propriétaire d’un bien immobilier </w:t>
      </w:r>
      <w:r w:rsidR="0048184C">
        <w:rPr>
          <w:rFonts w:ascii="Times New Roman" w:hAnsi="Times New Roman" w:cs="Times New Roman"/>
          <w:b/>
          <w:bCs/>
          <w:sz w:val="23"/>
          <w:szCs w:val="23"/>
        </w:rPr>
        <w:t xml:space="preserve">une promesse unilatérale de vente portant sur </w:t>
      </w:r>
      <w:r w:rsidR="006B30D7">
        <w:rPr>
          <w:rFonts w:ascii="Times New Roman" w:hAnsi="Times New Roman" w:cs="Times New Roman"/>
          <w:b/>
          <w:bCs/>
          <w:sz w:val="23"/>
          <w:szCs w:val="23"/>
        </w:rPr>
        <w:t>ce bien</w:t>
      </w:r>
      <w:r w:rsidR="0048184C">
        <w:rPr>
          <w:rFonts w:ascii="Times New Roman" w:hAnsi="Times New Roman" w:cs="Times New Roman"/>
          <w:b/>
          <w:bCs/>
          <w:sz w:val="23"/>
          <w:szCs w:val="23"/>
        </w:rPr>
        <w:t xml:space="preserve"> le 4 septembre 2020</w:t>
      </w:r>
      <w:r w:rsidR="006B30D7">
        <w:rPr>
          <w:rFonts w:ascii="Times New Roman" w:hAnsi="Times New Roman" w:cs="Times New Roman"/>
          <w:b/>
          <w:bCs/>
          <w:sz w:val="23"/>
          <w:szCs w:val="23"/>
        </w:rPr>
        <w:t xml:space="preserve">. Selon les termes de cette promesse, </w:t>
      </w:r>
      <w:r w:rsidR="00E01604">
        <w:rPr>
          <w:rFonts w:ascii="Times New Roman" w:hAnsi="Times New Roman" w:cs="Times New Roman"/>
          <w:b/>
          <w:bCs/>
          <w:sz w:val="23"/>
          <w:szCs w:val="23"/>
        </w:rPr>
        <w:t xml:space="preserve">les bénéficiaires pourront lever l’option </w:t>
      </w:r>
      <w:r w:rsidR="006B30D7">
        <w:rPr>
          <w:rFonts w:ascii="Times New Roman" w:hAnsi="Times New Roman" w:cs="Times New Roman"/>
          <w:b/>
          <w:bCs/>
          <w:sz w:val="23"/>
          <w:szCs w:val="23"/>
        </w:rPr>
        <w:t xml:space="preserve">à compter du décès de l’occupante des lieux, qui bénéficie d’un droit d’usage et d’habitation. </w:t>
      </w:r>
      <w:r w:rsidR="005F583F">
        <w:rPr>
          <w:rFonts w:ascii="Times New Roman" w:hAnsi="Times New Roman" w:cs="Times New Roman"/>
          <w:b/>
          <w:bCs/>
          <w:sz w:val="23"/>
          <w:szCs w:val="23"/>
        </w:rPr>
        <w:t>Le propriétaire peut-il révoquer sa promesse </w:t>
      </w:r>
      <w:r w:rsidR="00F9052E">
        <w:rPr>
          <w:rFonts w:ascii="Times New Roman" w:hAnsi="Times New Roman" w:cs="Times New Roman"/>
          <w:b/>
          <w:bCs/>
          <w:sz w:val="23"/>
          <w:szCs w:val="23"/>
        </w:rPr>
        <w:t>avant que l’occupante ne décède ? La solution aurait-elle été différente si la promesse avait été conclue le 4 septembre 2016 ?</w:t>
      </w:r>
      <w:r w:rsidR="006B30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3695B">
        <w:rPr>
          <w:rFonts w:ascii="Times New Roman" w:hAnsi="Times New Roman" w:cs="Times New Roman"/>
          <w:sz w:val="23"/>
          <w:szCs w:val="23"/>
        </w:rPr>
        <w:t>(4 points)</w:t>
      </w:r>
    </w:p>
    <w:p w14:paraId="08739BDD" w14:textId="77777777" w:rsidR="000759A1" w:rsidRDefault="000759A1" w:rsidP="0014408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207B246C" w14:textId="31918A20" w:rsidR="00156B83" w:rsidRDefault="00371BA9" w:rsidP="003675C7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Q3.</w:t>
      </w:r>
      <w:r w:rsidR="00156B83">
        <w:rPr>
          <w:rFonts w:ascii="Times New Roman" w:hAnsi="Times New Roman" w:cs="Times New Roman"/>
          <w:b/>
          <w:bCs/>
          <w:sz w:val="23"/>
          <w:szCs w:val="23"/>
        </w:rPr>
        <w:t xml:space="preserve"> En juillet 201</w:t>
      </w:r>
      <w:r w:rsidR="00281820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156B83">
        <w:rPr>
          <w:rFonts w:ascii="Times New Roman" w:hAnsi="Times New Roman" w:cs="Times New Roman"/>
          <w:b/>
          <w:bCs/>
          <w:sz w:val="23"/>
          <w:szCs w:val="23"/>
        </w:rPr>
        <w:t>, un particulier se rend chez un concessionnaire pour acheter une voiture grise. La semaine suivante, la voiture est livrée bleue.</w:t>
      </w:r>
      <w:r w:rsidR="0065003B">
        <w:rPr>
          <w:rFonts w:ascii="Times New Roman" w:hAnsi="Times New Roman" w:cs="Times New Roman"/>
          <w:b/>
          <w:bCs/>
          <w:sz w:val="23"/>
          <w:szCs w:val="23"/>
        </w:rPr>
        <w:t xml:space="preserve"> Sur le moment, </w:t>
      </w:r>
      <w:r w:rsidR="00595AB1">
        <w:rPr>
          <w:rFonts w:ascii="Times New Roman" w:hAnsi="Times New Roman" w:cs="Times New Roman"/>
          <w:b/>
          <w:bCs/>
          <w:sz w:val="23"/>
          <w:szCs w:val="23"/>
        </w:rPr>
        <w:t>le particulier ne l’a pas reproché au concessionnaire.</w:t>
      </w:r>
      <w:r w:rsidR="00156B83">
        <w:rPr>
          <w:rFonts w:ascii="Times New Roman" w:hAnsi="Times New Roman" w:cs="Times New Roman"/>
          <w:b/>
          <w:bCs/>
          <w:sz w:val="23"/>
          <w:szCs w:val="23"/>
        </w:rPr>
        <w:t xml:space="preserve"> Sur quel</w:t>
      </w:r>
      <w:r w:rsidR="001B6ED7">
        <w:rPr>
          <w:rFonts w:ascii="Times New Roman" w:hAnsi="Times New Roman" w:cs="Times New Roman"/>
          <w:b/>
          <w:bCs/>
          <w:sz w:val="23"/>
          <w:szCs w:val="23"/>
        </w:rPr>
        <w:t>(s)</w:t>
      </w:r>
      <w:r w:rsidR="00156B83">
        <w:rPr>
          <w:rFonts w:ascii="Times New Roman" w:hAnsi="Times New Roman" w:cs="Times New Roman"/>
          <w:b/>
          <w:bCs/>
          <w:sz w:val="23"/>
          <w:szCs w:val="23"/>
        </w:rPr>
        <w:t xml:space="preserve"> fondement</w:t>
      </w:r>
      <w:r w:rsidR="001B6ED7">
        <w:rPr>
          <w:rFonts w:ascii="Times New Roman" w:hAnsi="Times New Roman" w:cs="Times New Roman"/>
          <w:b/>
          <w:bCs/>
          <w:sz w:val="23"/>
          <w:szCs w:val="23"/>
        </w:rPr>
        <w:t>(s)</w:t>
      </w:r>
      <w:r w:rsidR="00156B83">
        <w:rPr>
          <w:rFonts w:ascii="Times New Roman" w:hAnsi="Times New Roman" w:cs="Times New Roman"/>
          <w:b/>
          <w:bCs/>
          <w:sz w:val="23"/>
          <w:szCs w:val="23"/>
        </w:rPr>
        <w:t xml:space="preserve"> peut-il agir </w:t>
      </w:r>
      <w:r w:rsidR="00896FE7">
        <w:rPr>
          <w:rFonts w:ascii="Times New Roman" w:hAnsi="Times New Roman" w:cs="Times New Roman"/>
          <w:b/>
          <w:bCs/>
          <w:sz w:val="23"/>
          <w:szCs w:val="23"/>
        </w:rPr>
        <w:t>aujourd’hu</w:t>
      </w:r>
      <w:r w:rsidR="009A6709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A7340D">
        <w:rPr>
          <w:rFonts w:ascii="Times New Roman" w:hAnsi="Times New Roman" w:cs="Times New Roman"/>
          <w:b/>
          <w:bCs/>
          <w:sz w:val="23"/>
          <w:szCs w:val="23"/>
        </w:rPr>
        <w:t xml:space="preserve"> (janvier 2021)</w:t>
      </w:r>
      <w:r w:rsidR="009A6709">
        <w:rPr>
          <w:rFonts w:ascii="Times New Roman" w:hAnsi="Times New Roman" w:cs="Times New Roman"/>
          <w:b/>
          <w:bCs/>
          <w:sz w:val="23"/>
          <w:szCs w:val="23"/>
        </w:rPr>
        <w:t>, et pourrait-il obtenir</w:t>
      </w:r>
      <w:r w:rsidR="000A33F3">
        <w:rPr>
          <w:rFonts w:ascii="Times New Roman" w:hAnsi="Times New Roman" w:cs="Times New Roman"/>
          <w:b/>
          <w:bCs/>
          <w:sz w:val="23"/>
          <w:szCs w:val="23"/>
        </w:rPr>
        <w:t xml:space="preserve"> satisfaction</w:t>
      </w:r>
      <w:r w:rsidR="00156B83">
        <w:rPr>
          <w:rFonts w:ascii="Times New Roman" w:hAnsi="Times New Roman" w:cs="Times New Roman"/>
          <w:b/>
          <w:bCs/>
          <w:sz w:val="23"/>
          <w:szCs w:val="23"/>
        </w:rPr>
        <w:t> ?</w:t>
      </w:r>
      <w:r w:rsidR="005468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3695B">
        <w:rPr>
          <w:rFonts w:ascii="Times New Roman" w:hAnsi="Times New Roman" w:cs="Times New Roman"/>
          <w:sz w:val="23"/>
          <w:szCs w:val="23"/>
        </w:rPr>
        <w:t>(4 points)</w:t>
      </w:r>
    </w:p>
    <w:p w14:paraId="7F3BB9D5" w14:textId="77777777" w:rsidR="000A4462" w:rsidRDefault="000A4462" w:rsidP="00156B8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E83468E" w14:textId="7256FBF7" w:rsidR="00371BA9" w:rsidRDefault="00371BA9" w:rsidP="00652CFF">
      <w:pPr>
        <w:spacing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Q4.</w:t>
      </w:r>
      <w:r w:rsidR="005468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84C79">
        <w:rPr>
          <w:rFonts w:ascii="Times New Roman" w:hAnsi="Times New Roman" w:cs="Times New Roman"/>
          <w:b/>
          <w:bCs/>
          <w:sz w:val="23"/>
          <w:szCs w:val="23"/>
        </w:rPr>
        <w:t>Le 2 octobre 2016, un</w:t>
      </w:r>
      <w:r w:rsidR="001A0CF4">
        <w:rPr>
          <w:rFonts w:ascii="Times New Roman" w:hAnsi="Times New Roman" w:cs="Times New Roman"/>
          <w:b/>
          <w:bCs/>
          <w:sz w:val="23"/>
          <w:szCs w:val="23"/>
        </w:rPr>
        <w:t xml:space="preserve"> salarié en charge du contrôle 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>de gestion d’une banque signe un cautionnement avec une société bénéficiaire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 xml:space="preserve"> au nom et pour le compte de </w:t>
      </w:r>
      <w:r w:rsidR="00096250">
        <w:rPr>
          <w:rFonts w:ascii="Times New Roman" w:hAnsi="Times New Roman" w:cs="Times New Roman"/>
          <w:b/>
          <w:bCs/>
          <w:sz w:val="23"/>
          <w:szCs w:val="23"/>
        </w:rPr>
        <w:t>la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 xml:space="preserve"> banque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 xml:space="preserve">, en 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>utilisant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>, comme il en a l’habitude,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 xml:space="preserve"> un papier à en-tête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 xml:space="preserve"> sur lequel figure le logo de la banque.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 xml:space="preserve"> Les statuts de </w:t>
      </w:r>
      <w:r w:rsidR="00096250">
        <w:rPr>
          <w:rFonts w:ascii="Times New Roman" w:hAnsi="Times New Roman" w:cs="Times New Roman"/>
          <w:b/>
          <w:bCs/>
          <w:sz w:val="23"/>
          <w:szCs w:val="23"/>
        </w:rPr>
        <w:t>la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 xml:space="preserve"> banque indiquent pourtant qu’un cautionnement ne peut engager la </w:t>
      </w:r>
      <w:r w:rsidR="003C5334">
        <w:rPr>
          <w:rFonts w:ascii="Times New Roman" w:hAnsi="Times New Roman" w:cs="Times New Roman"/>
          <w:b/>
          <w:bCs/>
          <w:sz w:val="23"/>
          <w:szCs w:val="23"/>
        </w:rPr>
        <w:t xml:space="preserve">banque 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 xml:space="preserve">que s’il 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>a été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 xml:space="preserve"> signé par 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>deux</w:t>
      </w:r>
      <w:r w:rsidR="00652CFF">
        <w:rPr>
          <w:rFonts w:ascii="Times New Roman" w:hAnsi="Times New Roman" w:cs="Times New Roman"/>
          <w:b/>
          <w:bCs/>
          <w:sz w:val="23"/>
          <w:szCs w:val="23"/>
        </w:rPr>
        <w:t xml:space="preserve"> mandataires sociaux.</w:t>
      </w:r>
      <w:r w:rsidR="00980E0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321C">
        <w:rPr>
          <w:rFonts w:ascii="Times New Roman" w:hAnsi="Times New Roman" w:cs="Times New Roman"/>
          <w:b/>
          <w:bCs/>
          <w:sz w:val="23"/>
          <w:szCs w:val="23"/>
        </w:rPr>
        <w:t>Considérant que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 xml:space="preserve"> le salarié a excédé la limite de ses pouvoirs</w:t>
      </w:r>
      <w:r w:rsidR="00BF321C">
        <w:rPr>
          <w:rFonts w:ascii="Times New Roman" w:hAnsi="Times New Roman" w:cs="Times New Roman"/>
          <w:b/>
          <w:bCs/>
          <w:sz w:val="23"/>
          <w:szCs w:val="23"/>
        </w:rPr>
        <w:t>, la banque refuse de s’estimer engagée par ce cautionnement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>. Le bénéficiaire du cautionnement peut-il se prévaloir de la théorie du mandat apparent ? Quels en seront, le cas échéant, les effets</w:t>
      </w:r>
      <w:r w:rsidR="0009625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27F2D">
        <w:rPr>
          <w:rFonts w:ascii="Times New Roman" w:hAnsi="Times New Roman" w:cs="Times New Roman"/>
          <w:b/>
          <w:bCs/>
          <w:sz w:val="23"/>
          <w:szCs w:val="23"/>
        </w:rPr>
        <w:t>?</w:t>
      </w:r>
      <w:r w:rsidR="00BF321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F321C">
        <w:rPr>
          <w:rFonts w:ascii="Times New Roman" w:hAnsi="Times New Roman" w:cs="Times New Roman"/>
          <w:sz w:val="23"/>
          <w:szCs w:val="23"/>
        </w:rPr>
        <w:t>(4 points)</w:t>
      </w:r>
    </w:p>
    <w:p w14:paraId="00AAA510" w14:textId="77777777" w:rsidR="0066679A" w:rsidRDefault="0066679A" w:rsidP="0014408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7B878809" w14:textId="7B2CD065" w:rsidR="00371BA9" w:rsidRDefault="00371BA9" w:rsidP="0076207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Q5.</w:t>
      </w:r>
      <w:r w:rsidR="005468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F4EF2">
        <w:rPr>
          <w:rFonts w:ascii="Times New Roman" w:hAnsi="Times New Roman" w:cs="Times New Roman"/>
          <w:b/>
          <w:bCs/>
          <w:sz w:val="23"/>
          <w:szCs w:val="23"/>
        </w:rPr>
        <w:t xml:space="preserve">Le </w:t>
      </w:r>
      <w:r w:rsidR="00762076">
        <w:rPr>
          <w:rFonts w:ascii="Times New Roman" w:hAnsi="Times New Roman" w:cs="Times New Roman"/>
          <w:b/>
          <w:bCs/>
          <w:sz w:val="23"/>
          <w:szCs w:val="23"/>
        </w:rPr>
        <w:t xml:space="preserve">3 décembre 2020, un couple conclut un contrat de vente immobilière avec constitution de rente viagère au profit d’une propriétaire âgée. </w:t>
      </w:r>
      <w:r w:rsidR="00F53D46">
        <w:rPr>
          <w:rFonts w:ascii="Times New Roman" w:hAnsi="Times New Roman" w:cs="Times New Roman"/>
          <w:b/>
          <w:bCs/>
          <w:sz w:val="23"/>
          <w:szCs w:val="23"/>
        </w:rPr>
        <w:t xml:space="preserve">Les conditions sont </w:t>
      </w:r>
      <w:r w:rsidR="00243843">
        <w:rPr>
          <w:rFonts w:ascii="Times New Roman" w:hAnsi="Times New Roman" w:cs="Times New Roman"/>
          <w:b/>
          <w:bCs/>
          <w:sz w:val="23"/>
          <w:szCs w:val="23"/>
        </w:rPr>
        <w:t xml:space="preserve">très intéressantes, puisque le montant des arrérages est à peine supérieur </w:t>
      </w:r>
      <w:r w:rsidR="003C5334">
        <w:rPr>
          <w:rFonts w:ascii="Times New Roman" w:hAnsi="Times New Roman" w:cs="Times New Roman"/>
          <w:b/>
          <w:bCs/>
          <w:sz w:val="23"/>
          <w:szCs w:val="23"/>
        </w:rPr>
        <w:t>aux revenus</w:t>
      </w:r>
      <w:r w:rsidR="00243843">
        <w:rPr>
          <w:rFonts w:ascii="Times New Roman" w:hAnsi="Times New Roman" w:cs="Times New Roman"/>
          <w:b/>
          <w:bCs/>
          <w:sz w:val="23"/>
          <w:szCs w:val="23"/>
        </w:rPr>
        <w:t xml:space="preserve"> que la propriétaire </w:t>
      </w:r>
      <w:r w:rsidR="00D15F86">
        <w:rPr>
          <w:rFonts w:ascii="Times New Roman" w:hAnsi="Times New Roman" w:cs="Times New Roman"/>
          <w:b/>
          <w:bCs/>
          <w:sz w:val="23"/>
          <w:szCs w:val="23"/>
        </w:rPr>
        <w:t>pourrait retirer</w:t>
      </w:r>
      <w:r w:rsidR="00243843">
        <w:rPr>
          <w:rFonts w:ascii="Times New Roman" w:hAnsi="Times New Roman" w:cs="Times New Roman"/>
          <w:b/>
          <w:bCs/>
          <w:sz w:val="23"/>
          <w:szCs w:val="23"/>
        </w:rPr>
        <w:t xml:space="preserve"> de son bien si elle le proposait à la location.</w:t>
      </w:r>
      <w:r w:rsidR="00D15F86">
        <w:rPr>
          <w:rFonts w:ascii="Times New Roman" w:hAnsi="Times New Roman" w:cs="Times New Roman"/>
          <w:b/>
          <w:bCs/>
          <w:sz w:val="23"/>
          <w:szCs w:val="23"/>
        </w:rPr>
        <w:t xml:space="preserve"> En outre, un mois après la conclusion </w:t>
      </w:r>
      <w:r w:rsidR="00C32A33">
        <w:rPr>
          <w:rFonts w:ascii="Times New Roman" w:hAnsi="Times New Roman" w:cs="Times New Roman"/>
          <w:b/>
          <w:bCs/>
          <w:sz w:val="23"/>
          <w:szCs w:val="23"/>
        </w:rPr>
        <w:t>du contrat</w:t>
      </w:r>
      <w:r w:rsidR="00D15F86">
        <w:rPr>
          <w:rFonts w:ascii="Times New Roman" w:hAnsi="Times New Roman" w:cs="Times New Roman"/>
          <w:b/>
          <w:bCs/>
          <w:sz w:val="23"/>
          <w:szCs w:val="23"/>
        </w:rPr>
        <w:t xml:space="preserve">, cette dernière consent </w:t>
      </w:r>
      <w:r w:rsidR="002A6A79">
        <w:rPr>
          <w:rFonts w:ascii="Times New Roman" w:hAnsi="Times New Roman" w:cs="Times New Roman"/>
          <w:b/>
          <w:bCs/>
          <w:sz w:val="23"/>
          <w:szCs w:val="23"/>
        </w:rPr>
        <w:t xml:space="preserve">dans une contre-lettre à ce que le couple </w:t>
      </w:r>
      <w:r w:rsidR="00950EFD">
        <w:rPr>
          <w:rFonts w:ascii="Times New Roman" w:hAnsi="Times New Roman" w:cs="Times New Roman"/>
          <w:b/>
          <w:bCs/>
          <w:sz w:val="23"/>
          <w:szCs w:val="23"/>
        </w:rPr>
        <w:t>occupe</w:t>
      </w:r>
      <w:r w:rsidR="002A6A79">
        <w:rPr>
          <w:rFonts w:ascii="Times New Roman" w:hAnsi="Times New Roman" w:cs="Times New Roman"/>
          <w:b/>
          <w:bCs/>
          <w:sz w:val="23"/>
          <w:szCs w:val="23"/>
        </w:rPr>
        <w:t xml:space="preserve"> dès maintenant l’appartement. Elle décède six mois plus tard.</w:t>
      </w:r>
      <w:r w:rsidR="00950EFD">
        <w:rPr>
          <w:rFonts w:ascii="Times New Roman" w:hAnsi="Times New Roman" w:cs="Times New Roman"/>
          <w:b/>
          <w:bCs/>
          <w:sz w:val="23"/>
          <w:szCs w:val="23"/>
        </w:rPr>
        <w:t xml:space="preserve"> Ses héritiers souhaitent obtenir la nullité de ce contrat, qu’ils </w:t>
      </w:r>
      <w:r w:rsidR="00C32A33">
        <w:rPr>
          <w:rFonts w:ascii="Times New Roman" w:hAnsi="Times New Roman" w:cs="Times New Roman"/>
          <w:b/>
          <w:bCs/>
          <w:sz w:val="23"/>
          <w:szCs w:val="23"/>
        </w:rPr>
        <w:t xml:space="preserve">estiment </w:t>
      </w:r>
      <w:r w:rsidR="00773177">
        <w:rPr>
          <w:rFonts w:ascii="Times New Roman" w:hAnsi="Times New Roman" w:cs="Times New Roman"/>
          <w:b/>
          <w:bCs/>
          <w:sz w:val="23"/>
          <w:szCs w:val="23"/>
        </w:rPr>
        <w:t xml:space="preserve">profondément </w:t>
      </w:r>
      <w:r w:rsidR="00344CE4">
        <w:rPr>
          <w:rFonts w:ascii="Times New Roman" w:hAnsi="Times New Roman" w:cs="Times New Roman"/>
          <w:b/>
          <w:bCs/>
          <w:sz w:val="23"/>
          <w:szCs w:val="23"/>
        </w:rPr>
        <w:t>lésionnaire</w:t>
      </w:r>
      <w:r w:rsidR="00773177">
        <w:rPr>
          <w:rFonts w:ascii="Times New Roman" w:hAnsi="Times New Roman" w:cs="Times New Roman"/>
          <w:b/>
          <w:bCs/>
          <w:sz w:val="23"/>
          <w:szCs w:val="23"/>
        </w:rPr>
        <w:t xml:space="preserve">. Le peuvent-ils ? </w:t>
      </w:r>
      <w:r w:rsidR="00773177">
        <w:rPr>
          <w:rFonts w:ascii="Times New Roman" w:hAnsi="Times New Roman" w:cs="Times New Roman"/>
          <w:sz w:val="23"/>
          <w:szCs w:val="23"/>
        </w:rPr>
        <w:t>(4 points)</w:t>
      </w:r>
    </w:p>
    <w:p w14:paraId="3ED98C06" w14:textId="66BDDFA7" w:rsidR="00382FD8" w:rsidRPr="00707A35" w:rsidRDefault="00382FD8" w:rsidP="00707A35">
      <w:pPr>
        <w:spacing w:line="240" w:lineRule="auto"/>
        <w:jc w:val="both"/>
        <w:rPr>
          <w:rFonts w:asciiTheme="majorBidi" w:hAnsiTheme="majorBidi" w:cstheme="majorBidi"/>
          <w:b/>
          <w:bCs/>
          <w:spacing w:val="-4"/>
          <w:sz w:val="21"/>
          <w:szCs w:val="21"/>
        </w:rPr>
      </w:pPr>
    </w:p>
    <w:sectPr w:rsidR="00382FD8" w:rsidRPr="00707A35" w:rsidSect="00595AB1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94A30"/>
    <w:multiLevelType w:val="hybridMultilevel"/>
    <w:tmpl w:val="4EAEE34A"/>
    <w:lvl w:ilvl="0" w:tplc="92AC49A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8D"/>
    <w:rsid w:val="000759A1"/>
    <w:rsid w:val="00096250"/>
    <w:rsid w:val="000A0335"/>
    <w:rsid w:val="000A33F3"/>
    <w:rsid w:val="000A4462"/>
    <w:rsid w:val="000D33F9"/>
    <w:rsid w:val="001124F2"/>
    <w:rsid w:val="0014408D"/>
    <w:rsid w:val="00156B83"/>
    <w:rsid w:val="001A0CF4"/>
    <w:rsid w:val="001B6ED7"/>
    <w:rsid w:val="00243843"/>
    <w:rsid w:val="00281820"/>
    <w:rsid w:val="002A6A79"/>
    <w:rsid w:val="0030071B"/>
    <w:rsid w:val="00344CE4"/>
    <w:rsid w:val="003675C7"/>
    <w:rsid w:val="00371BA9"/>
    <w:rsid w:val="00382FD8"/>
    <w:rsid w:val="003A0A05"/>
    <w:rsid w:val="003C5334"/>
    <w:rsid w:val="003F4822"/>
    <w:rsid w:val="0048184C"/>
    <w:rsid w:val="004F1D3C"/>
    <w:rsid w:val="004F477B"/>
    <w:rsid w:val="005312F2"/>
    <w:rsid w:val="005340D9"/>
    <w:rsid w:val="00546831"/>
    <w:rsid w:val="00595AB1"/>
    <w:rsid w:val="005D78C7"/>
    <w:rsid w:val="005F583F"/>
    <w:rsid w:val="00627F2D"/>
    <w:rsid w:val="0065003B"/>
    <w:rsid w:val="00652CFF"/>
    <w:rsid w:val="0066679A"/>
    <w:rsid w:val="00685312"/>
    <w:rsid w:val="006B30D7"/>
    <w:rsid w:val="00707A35"/>
    <w:rsid w:val="0071212F"/>
    <w:rsid w:val="00762076"/>
    <w:rsid w:val="00773177"/>
    <w:rsid w:val="007A26B6"/>
    <w:rsid w:val="007B7391"/>
    <w:rsid w:val="00896FE7"/>
    <w:rsid w:val="008F64C4"/>
    <w:rsid w:val="00920F74"/>
    <w:rsid w:val="00927863"/>
    <w:rsid w:val="00950EFD"/>
    <w:rsid w:val="00980E06"/>
    <w:rsid w:val="009A6709"/>
    <w:rsid w:val="00A30554"/>
    <w:rsid w:val="00A7340D"/>
    <w:rsid w:val="00A97A72"/>
    <w:rsid w:val="00AC0E8D"/>
    <w:rsid w:val="00BF321C"/>
    <w:rsid w:val="00C27BEB"/>
    <w:rsid w:val="00C32A33"/>
    <w:rsid w:val="00C3695B"/>
    <w:rsid w:val="00C84C79"/>
    <w:rsid w:val="00C94DE7"/>
    <w:rsid w:val="00CB57B5"/>
    <w:rsid w:val="00CE721B"/>
    <w:rsid w:val="00D15F86"/>
    <w:rsid w:val="00DF4EF2"/>
    <w:rsid w:val="00E01604"/>
    <w:rsid w:val="00E5641A"/>
    <w:rsid w:val="00F229B9"/>
    <w:rsid w:val="00F53D46"/>
    <w:rsid w:val="00F9052E"/>
    <w:rsid w:val="00FC1213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19AF"/>
  <w15:chartTrackingRefBased/>
  <w15:docId w15:val="{9AD88BC5-E5EE-4C51-AE10-8446FC25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C7"/>
    <w:pPr>
      <w:spacing w:after="0" w:line="276" w:lineRule="auto"/>
    </w:pPr>
    <w:rPr>
      <w:rFonts w:ascii="Garamond" w:hAnsi="Garamon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124F2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4F2"/>
    <w:rPr>
      <w:rFonts w:ascii="Garamond" w:hAnsi="Garamond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08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Correcteur n° 1</cp:lastModifiedBy>
  <cp:revision>3</cp:revision>
  <dcterms:created xsi:type="dcterms:W3CDTF">2021-01-20T09:19:00Z</dcterms:created>
  <dcterms:modified xsi:type="dcterms:W3CDTF">2021-01-20T09:22:00Z</dcterms:modified>
</cp:coreProperties>
</file>