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4D35" w14:textId="77777777" w:rsidR="00944A74" w:rsidRDefault="00944A74" w:rsidP="00944A74">
      <w:pPr>
        <w:widowControl w:val="0"/>
        <w:autoSpaceDE w:val="0"/>
        <w:autoSpaceDN w:val="0"/>
        <w:adjustRightInd w:val="0"/>
        <w:rPr>
          <w:sz w:val="3"/>
          <w:szCs w:val="3"/>
        </w:rPr>
      </w:pPr>
    </w:p>
    <w:p w14:paraId="6DA6CEE1"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14:paraId="335B8BC5" w14:textId="77777777" w:rsidR="00944A74" w:rsidRDefault="00944A74" w:rsidP="00944A74">
      <w:pPr>
        <w:widowControl w:val="0"/>
        <w:autoSpaceDE w:val="0"/>
        <w:autoSpaceDN w:val="0"/>
        <w:adjustRightInd w:val="0"/>
        <w:rPr>
          <w:rFonts w:ascii="Arial" w:hAnsi="Arial" w:cs="Arial"/>
          <w:b/>
          <w:bCs/>
          <w:color w:val="000000"/>
          <w:sz w:val="20"/>
          <w:szCs w:val="20"/>
        </w:rPr>
      </w:pPr>
    </w:p>
    <w:p w14:paraId="5A0DCC1F" w14:textId="77777777" w:rsidR="00944A74" w:rsidRDefault="00944A74" w:rsidP="00944A74">
      <w:pPr>
        <w:widowControl w:val="0"/>
        <w:autoSpaceDE w:val="0"/>
        <w:autoSpaceDN w:val="0"/>
        <w:adjustRightInd w:val="0"/>
        <w:rPr>
          <w:rFonts w:ascii="Arial" w:hAnsi="Arial" w:cs="Arial"/>
          <w:b/>
          <w:bCs/>
          <w:color w:val="000000"/>
          <w:sz w:val="8"/>
          <w:szCs w:val="8"/>
        </w:rPr>
      </w:pPr>
    </w:p>
    <w:p w14:paraId="5E5CAD02" w14:textId="24AC873E"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C75E78">
        <w:t>3081</w:t>
      </w:r>
    </w:p>
    <w:p w14:paraId="24660736" w14:textId="77777777" w:rsidR="00944A74" w:rsidRDefault="00944A74" w:rsidP="00944A74">
      <w:pPr>
        <w:widowControl w:val="0"/>
        <w:autoSpaceDE w:val="0"/>
        <w:autoSpaceDN w:val="0"/>
        <w:adjustRightInd w:val="0"/>
        <w:rPr>
          <w:rFonts w:ascii="Arial" w:hAnsi="Arial" w:cs="Arial"/>
          <w:b/>
          <w:bCs/>
          <w:color w:val="000000"/>
          <w:sz w:val="20"/>
          <w:szCs w:val="20"/>
        </w:rPr>
      </w:pPr>
    </w:p>
    <w:p w14:paraId="792F6227" w14:textId="77777777" w:rsidR="00944A74" w:rsidRDefault="00944A74" w:rsidP="00944A74">
      <w:pPr>
        <w:widowControl w:val="0"/>
        <w:autoSpaceDE w:val="0"/>
        <w:autoSpaceDN w:val="0"/>
        <w:adjustRightInd w:val="0"/>
        <w:rPr>
          <w:rFonts w:ascii="Arial" w:hAnsi="Arial" w:cs="Arial"/>
          <w:b/>
          <w:bCs/>
          <w:color w:val="000000"/>
          <w:sz w:val="15"/>
          <w:szCs w:val="15"/>
        </w:rPr>
      </w:pPr>
    </w:p>
    <w:p w14:paraId="29D57392"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7CBF7630" w14:textId="77777777" w:rsidR="00944A74" w:rsidRDefault="00944A74" w:rsidP="00944A74">
      <w:pPr>
        <w:widowControl w:val="0"/>
        <w:autoSpaceDE w:val="0"/>
        <w:autoSpaceDN w:val="0"/>
        <w:adjustRightInd w:val="0"/>
        <w:rPr>
          <w:rFonts w:ascii="Arial" w:hAnsi="Arial" w:cs="Arial"/>
          <w:color w:val="000000"/>
          <w:sz w:val="20"/>
          <w:szCs w:val="20"/>
        </w:rPr>
      </w:pPr>
    </w:p>
    <w:p w14:paraId="5825FA95" w14:textId="77777777" w:rsidR="00944A74" w:rsidRDefault="00944A74" w:rsidP="00944A74">
      <w:pPr>
        <w:widowControl w:val="0"/>
        <w:autoSpaceDE w:val="0"/>
        <w:autoSpaceDN w:val="0"/>
        <w:adjustRightInd w:val="0"/>
        <w:rPr>
          <w:rFonts w:ascii="Arial" w:hAnsi="Arial" w:cs="Arial"/>
          <w:color w:val="000000"/>
          <w:sz w:val="20"/>
          <w:szCs w:val="20"/>
        </w:rPr>
      </w:pPr>
    </w:p>
    <w:p w14:paraId="440B1CBE" w14:textId="77777777" w:rsidR="00944A74" w:rsidRDefault="00944A74" w:rsidP="00944A74">
      <w:pPr>
        <w:widowControl w:val="0"/>
        <w:autoSpaceDE w:val="0"/>
        <w:autoSpaceDN w:val="0"/>
        <w:adjustRightInd w:val="0"/>
        <w:rPr>
          <w:rFonts w:ascii="Arial" w:hAnsi="Arial" w:cs="Arial"/>
          <w:color w:val="000000"/>
          <w:sz w:val="6"/>
          <w:szCs w:val="6"/>
        </w:rPr>
      </w:pPr>
    </w:p>
    <w:p w14:paraId="795A6D1A"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14:paraId="1D18749C" w14:textId="77777777" w:rsidR="00944A74" w:rsidRDefault="00944A74" w:rsidP="00944A74">
      <w:pPr>
        <w:widowControl w:val="0"/>
        <w:autoSpaceDE w:val="0"/>
        <w:autoSpaceDN w:val="0"/>
        <w:adjustRightInd w:val="0"/>
        <w:rPr>
          <w:rFonts w:ascii="Arial" w:hAnsi="Arial" w:cs="Arial"/>
          <w:color w:val="000000"/>
          <w:sz w:val="20"/>
          <w:szCs w:val="20"/>
        </w:rPr>
      </w:pPr>
    </w:p>
    <w:p w14:paraId="4E3E4961" w14:textId="77777777" w:rsidR="00944A74" w:rsidRDefault="00944A74" w:rsidP="00944A74">
      <w:pPr>
        <w:widowControl w:val="0"/>
        <w:autoSpaceDE w:val="0"/>
        <w:autoSpaceDN w:val="0"/>
        <w:adjustRightInd w:val="0"/>
        <w:rPr>
          <w:rFonts w:ascii="Arial" w:hAnsi="Arial" w:cs="Arial"/>
          <w:color w:val="000000"/>
          <w:sz w:val="20"/>
          <w:szCs w:val="20"/>
        </w:rPr>
      </w:pPr>
    </w:p>
    <w:p w14:paraId="4691FDBB" w14:textId="77777777" w:rsidR="00944A74" w:rsidRDefault="00944A74" w:rsidP="00944A74">
      <w:pPr>
        <w:widowControl w:val="0"/>
        <w:autoSpaceDE w:val="0"/>
        <w:autoSpaceDN w:val="0"/>
        <w:adjustRightInd w:val="0"/>
        <w:rPr>
          <w:rFonts w:ascii="Arial" w:hAnsi="Arial" w:cs="Arial"/>
          <w:color w:val="000000"/>
          <w:sz w:val="10"/>
          <w:szCs w:val="10"/>
        </w:rPr>
      </w:pPr>
    </w:p>
    <w:p w14:paraId="69BFD38F" w14:textId="203478F1"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rsidR="008903D6">
        <w:rPr>
          <w:rFonts w:ascii="Arial" w:hAnsi="Arial" w:cs="Arial"/>
          <w:b/>
          <w:bCs/>
          <w:color w:val="000000"/>
        </w:rPr>
        <w:tab/>
      </w:r>
      <w:r w:rsidR="00421DD8">
        <w:t>Master 1</w:t>
      </w:r>
    </w:p>
    <w:p w14:paraId="7F2412FA" w14:textId="77777777" w:rsidR="00944A74" w:rsidRDefault="00944A74" w:rsidP="00944A74">
      <w:pPr>
        <w:widowControl w:val="0"/>
        <w:autoSpaceDE w:val="0"/>
        <w:autoSpaceDN w:val="0"/>
        <w:adjustRightInd w:val="0"/>
        <w:rPr>
          <w:rFonts w:ascii="Arial" w:hAnsi="Arial" w:cs="Arial"/>
          <w:color w:val="000000"/>
          <w:sz w:val="20"/>
          <w:szCs w:val="20"/>
        </w:rPr>
      </w:pPr>
    </w:p>
    <w:p w14:paraId="25F8EE98" w14:textId="77777777" w:rsidR="00944A74" w:rsidRDefault="00944A74" w:rsidP="00944A74">
      <w:pPr>
        <w:widowControl w:val="0"/>
        <w:autoSpaceDE w:val="0"/>
        <w:autoSpaceDN w:val="0"/>
        <w:adjustRightInd w:val="0"/>
        <w:rPr>
          <w:rFonts w:ascii="Arial" w:hAnsi="Arial" w:cs="Arial"/>
          <w:color w:val="000000"/>
          <w:sz w:val="20"/>
          <w:szCs w:val="20"/>
        </w:rPr>
      </w:pPr>
    </w:p>
    <w:p w14:paraId="59E5F4BD" w14:textId="77777777" w:rsidR="00944A74" w:rsidRDefault="00944A74" w:rsidP="00944A74">
      <w:pPr>
        <w:widowControl w:val="0"/>
        <w:autoSpaceDE w:val="0"/>
        <w:autoSpaceDN w:val="0"/>
        <w:adjustRightInd w:val="0"/>
        <w:rPr>
          <w:rFonts w:ascii="Arial" w:hAnsi="Arial" w:cs="Arial"/>
          <w:color w:val="000000"/>
          <w:sz w:val="12"/>
          <w:szCs w:val="12"/>
        </w:rPr>
      </w:pPr>
    </w:p>
    <w:p w14:paraId="65EAE75A" w14:textId="18107026"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rsidR="008903D6">
        <w:rPr>
          <w:rFonts w:ascii="Arial" w:hAnsi="Arial" w:cs="Arial"/>
          <w:b/>
          <w:bCs/>
          <w:color w:val="000000"/>
        </w:rPr>
        <w:tab/>
      </w:r>
      <w:bookmarkStart w:id="0" w:name="_GoBack"/>
      <w:bookmarkEnd w:id="0"/>
      <w:r w:rsidR="00421DD8" w:rsidRPr="00421DD8">
        <w:rPr>
          <w:rFonts w:ascii="Arial" w:hAnsi="Arial" w:cs="Arial"/>
          <w:color w:val="000000"/>
        </w:rPr>
        <w:t>Histoire de la pensée internationale</w:t>
      </w:r>
      <w:r w:rsidRPr="00421DD8">
        <w:tab/>
      </w:r>
    </w:p>
    <w:p w14:paraId="7FBA48B9" w14:textId="77777777" w:rsidR="00944A74" w:rsidRDefault="00944A74" w:rsidP="00944A74">
      <w:pPr>
        <w:widowControl w:val="0"/>
        <w:autoSpaceDE w:val="0"/>
        <w:autoSpaceDN w:val="0"/>
        <w:adjustRightInd w:val="0"/>
        <w:rPr>
          <w:b/>
          <w:bCs/>
          <w:i/>
          <w:iCs/>
          <w:color w:val="000000"/>
          <w:sz w:val="8"/>
          <w:szCs w:val="8"/>
        </w:rPr>
      </w:pPr>
    </w:p>
    <w:p w14:paraId="2884EA07"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14:paraId="0E12DC19"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04925E7D" w14:textId="77777777" w:rsidR="00944A74" w:rsidRDefault="00944A74" w:rsidP="00944A74">
      <w:pPr>
        <w:widowControl w:val="0"/>
        <w:autoSpaceDE w:val="0"/>
        <w:autoSpaceDN w:val="0"/>
        <w:adjustRightInd w:val="0"/>
        <w:rPr>
          <w:rFonts w:ascii="Arial" w:hAnsi="Arial" w:cs="Arial"/>
          <w:color w:val="000000"/>
          <w:sz w:val="20"/>
          <w:szCs w:val="20"/>
        </w:rPr>
      </w:pPr>
    </w:p>
    <w:p w14:paraId="7E3F85BF" w14:textId="77777777" w:rsidR="00944A74" w:rsidRDefault="00944A74" w:rsidP="00944A74">
      <w:pPr>
        <w:widowControl w:val="0"/>
        <w:autoSpaceDE w:val="0"/>
        <w:autoSpaceDN w:val="0"/>
        <w:adjustRightInd w:val="0"/>
        <w:rPr>
          <w:rFonts w:ascii="Arial" w:hAnsi="Arial" w:cs="Arial"/>
          <w:color w:val="000000"/>
          <w:sz w:val="15"/>
          <w:szCs w:val="15"/>
        </w:rPr>
      </w:pPr>
    </w:p>
    <w:p w14:paraId="65FAF442" w14:textId="4FD03B33" w:rsidR="00944A74" w:rsidRPr="00421DD8" w:rsidRDefault="00944A74" w:rsidP="006E78FF">
      <w:pPr>
        <w:widowControl w:val="0"/>
        <w:tabs>
          <w:tab w:val="left" w:pos="56"/>
          <w:tab w:val="left" w:pos="2694"/>
        </w:tabs>
        <w:autoSpaceDE w:val="0"/>
        <w:autoSpaceDN w:val="0"/>
        <w:adjustRightInd w:val="0"/>
        <w:rPr>
          <w:rFonts w:ascii="Arial" w:hAnsi="Arial" w:cs="Arial"/>
          <w:color w:val="000000"/>
        </w:rPr>
      </w:pPr>
      <w:r>
        <w:tab/>
      </w:r>
      <w:r>
        <w:rPr>
          <w:rFonts w:ascii="Arial" w:hAnsi="Arial" w:cs="Arial"/>
          <w:b/>
          <w:bCs/>
          <w:color w:val="000000"/>
        </w:rPr>
        <w:t xml:space="preserve">Titulaire(s) du cours : </w:t>
      </w:r>
      <w:r w:rsidR="006E78FF" w:rsidRPr="00421DD8">
        <w:rPr>
          <w:rFonts w:ascii="Arial" w:hAnsi="Arial" w:cs="Arial"/>
          <w:color w:val="000000"/>
        </w:rPr>
        <w:tab/>
      </w:r>
      <w:r w:rsidR="00421DD8" w:rsidRPr="00421DD8">
        <w:rPr>
          <w:rFonts w:ascii="Arial" w:hAnsi="Arial" w:cs="Arial"/>
          <w:color w:val="000000"/>
        </w:rPr>
        <w:t>P. Gourgues</w:t>
      </w:r>
    </w:p>
    <w:p w14:paraId="67797C30" w14:textId="77777777" w:rsidR="00944A74" w:rsidRDefault="00944A74" w:rsidP="00944A74">
      <w:pPr>
        <w:widowControl w:val="0"/>
        <w:autoSpaceDE w:val="0"/>
        <w:autoSpaceDN w:val="0"/>
        <w:adjustRightInd w:val="0"/>
        <w:rPr>
          <w:rFonts w:ascii="Arial" w:hAnsi="Arial" w:cs="Arial"/>
          <w:b/>
          <w:bCs/>
          <w:color w:val="000000"/>
          <w:sz w:val="10"/>
          <w:szCs w:val="10"/>
        </w:rPr>
      </w:pPr>
    </w:p>
    <w:p w14:paraId="3A9E3313"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621A407C" w14:textId="77777777" w:rsidR="00944A74" w:rsidRDefault="00944A74" w:rsidP="00944A74">
      <w:pPr>
        <w:widowControl w:val="0"/>
        <w:autoSpaceDE w:val="0"/>
        <w:autoSpaceDN w:val="0"/>
        <w:adjustRightInd w:val="0"/>
        <w:rPr>
          <w:rFonts w:ascii="Arial" w:hAnsi="Arial" w:cs="Arial"/>
          <w:color w:val="000000"/>
          <w:sz w:val="20"/>
          <w:szCs w:val="20"/>
        </w:rPr>
      </w:pPr>
    </w:p>
    <w:p w14:paraId="2428B40F" w14:textId="163D4599" w:rsidR="00110FE2" w:rsidRPr="00421DD8" w:rsidRDefault="00110FE2" w:rsidP="006E78FF">
      <w:pPr>
        <w:widowControl w:val="0"/>
        <w:tabs>
          <w:tab w:val="left" w:pos="56"/>
          <w:tab w:val="left" w:pos="2694"/>
        </w:tabs>
        <w:autoSpaceDE w:val="0"/>
        <w:autoSpaceDN w:val="0"/>
        <w:adjustRightInd w:val="0"/>
        <w:rPr>
          <w:rFonts w:ascii="Arial" w:hAnsi="Arial" w:cs="Arial"/>
          <w:bCs/>
        </w:rPr>
      </w:pPr>
      <w:r w:rsidRPr="00110FE2">
        <w:rPr>
          <w:rFonts w:ascii="Arial" w:hAnsi="Arial" w:cs="Arial"/>
          <w:b/>
        </w:rPr>
        <w:t xml:space="preserve">Durée de l’épreuve : </w:t>
      </w:r>
      <w:r w:rsidR="006E78FF">
        <w:rPr>
          <w:rFonts w:ascii="Arial" w:hAnsi="Arial" w:cs="Arial"/>
          <w:b/>
        </w:rPr>
        <w:tab/>
      </w:r>
      <w:r w:rsidR="00421DD8" w:rsidRPr="00421DD8">
        <w:rPr>
          <w:rFonts w:ascii="Arial" w:hAnsi="Arial" w:cs="Arial"/>
          <w:bCs/>
        </w:rPr>
        <w:t>2 heures</w:t>
      </w:r>
    </w:p>
    <w:p w14:paraId="48906337" w14:textId="77777777" w:rsidR="00110FE2" w:rsidRDefault="00110FE2" w:rsidP="00944A74">
      <w:pPr>
        <w:widowControl w:val="0"/>
        <w:tabs>
          <w:tab w:val="left" w:pos="56"/>
        </w:tabs>
        <w:autoSpaceDE w:val="0"/>
        <w:autoSpaceDN w:val="0"/>
        <w:adjustRightInd w:val="0"/>
      </w:pPr>
    </w:p>
    <w:p w14:paraId="663AFE8F" w14:textId="77777777" w:rsidR="00AE726E" w:rsidRDefault="00AE726E" w:rsidP="00944A74">
      <w:pPr>
        <w:widowControl w:val="0"/>
        <w:tabs>
          <w:tab w:val="left" w:pos="56"/>
        </w:tabs>
        <w:autoSpaceDE w:val="0"/>
        <w:autoSpaceDN w:val="0"/>
        <w:adjustRightInd w:val="0"/>
      </w:pPr>
    </w:p>
    <w:p w14:paraId="00449C07" w14:textId="55F83FC7" w:rsidR="00944A74" w:rsidRPr="00421DD8" w:rsidRDefault="00944A74" w:rsidP="00944A74">
      <w:pPr>
        <w:widowControl w:val="0"/>
        <w:tabs>
          <w:tab w:val="left" w:pos="56"/>
        </w:tabs>
        <w:autoSpaceDE w:val="0"/>
        <w:autoSpaceDN w:val="0"/>
        <w:adjustRightInd w:val="0"/>
        <w:rPr>
          <w:rFonts w:ascii="Arial" w:hAnsi="Arial" w:cs="Arial"/>
          <w:color w:val="000000"/>
        </w:rPr>
      </w:pPr>
      <w:r>
        <w:rPr>
          <w:rFonts w:ascii="Arial" w:hAnsi="Arial" w:cs="Arial"/>
          <w:b/>
          <w:bCs/>
          <w:color w:val="000000"/>
        </w:rPr>
        <w:t xml:space="preserve">Document(s) autorisé(s) : </w:t>
      </w:r>
      <w:r w:rsidR="00421DD8" w:rsidRPr="00421DD8">
        <w:rPr>
          <w:rFonts w:ascii="Arial" w:hAnsi="Arial" w:cs="Arial"/>
          <w:color w:val="000000"/>
        </w:rPr>
        <w:t xml:space="preserve">aucun </w:t>
      </w:r>
    </w:p>
    <w:p w14:paraId="6322777B" w14:textId="77777777" w:rsidR="00C62AB8" w:rsidRDefault="00C62AB8" w:rsidP="00C62AB8"/>
    <w:p w14:paraId="3C4E99B4" w14:textId="77777777" w:rsidR="00944A74" w:rsidRDefault="00944A74" w:rsidP="00C62AB8"/>
    <w:p w14:paraId="2E6B6575" w14:textId="77777777" w:rsidR="00944A74" w:rsidRDefault="00944A74" w:rsidP="00C62AB8"/>
    <w:p w14:paraId="692015E3" w14:textId="77777777" w:rsidR="00944A74" w:rsidRDefault="00944A74" w:rsidP="00C62AB8"/>
    <w:p w14:paraId="30B86842" w14:textId="77777777" w:rsidR="00421DD8" w:rsidRPr="00062773" w:rsidRDefault="00421DD8" w:rsidP="00421DD8">
      <w:pPr>
        <w:pStyle w:val="Titre1"/>
        <w:rPr>
          <w:rFonts w:ascii="Times New Roman" w:eastAsia="Times" w:hAnsi="Times New Roman" w:cs="Times New Roman"/>
          <w:color w:val="000000" w:themeColor="text1"/>
          <w:sz w:val="24"/>
          <w:szCs w:val="24"/>
        </w:rPr>
      </w:pPr>
      <w:r w:rsidRPr="00062773">
        <w:rPr>
          <w:rFonts w:ascii="Times New Roman" w:eastAsia="Times" w:hAnsi="Times New Roman" w:cs="Times New Roman"/>
          <w:color w:val="000000" w:themeColor="text1"/>
          <w:sz w:val="24"/>
          <w:szCs w:val="24"/>
        </w:rPr>
        <w:t>Traitez, au choix, l’un des deux sujets</w:t>
      </w:r>
    </w:p>
    <w:p w14:paraId="2D848A76" w14:textId="77777777" w:rsidR="00421DD8" w:rsidRPr="00062773" w:rsidRDefault="00421DD8" w:rsidP="00421DD8">
      <w:pPr>
        <w:spacing w:line="360" w:lineRule="auto"/>
        <w:rPr>
          <w:rFonts w:eastAsia="Times"/>
        </w:rPr>
      </w:pPr>
    </w:p>
    <w:p w14:paraId="50C0AC94" w14:textId="1AC9FF1B" w:rsidR="00421DD8" w:rsidRDefault="00421DD8" w:rsidP="00421DD8">
      <w:pPr>
        <w:spacing w:line="360" w:lineRule="auto"/>
        <w:jc w:val="both"/>
      </w:pPr>
      <w:r w:rsidRPr="00062773">
        <w:t xml:space="preserve">— </w:t>
      </w:r>
      <w:r w:rsidRPr="00062773">
        <w:rPr>
          <w:b/>
        </w:rPr>
        <w:t>Premier sujet </w:t>
      </w:r>
      <w:r w:rsidRPr="00062773">
        <w:t>: La question de la  guerre dans la pensée des auteurs chrétiens de l’Antiquité tardive</w:t>
      </w:r>
    </w:p>
    <w:p w14:paraId="524C6D99" w14:textId="77777777" w:rsidR="00421DD8" w:rsidRPr="00062773" w:rsidRDefault="00421DD8" w:rsidP="00421DD8">
      <w:pPr>
        <w:spacing w:line="360" w:lineRule="auto"/>
        <w:jc w:val="both"/>
      </w:pPr>
    </w:p>
    <w:p w14:paraId="0AA99032" w14:textId="2B6D043D" w:rsidR="00421DD8" w:rsidRDefault="00421DD8" w:rsidP="00421DD8">
      <w:r w:rsidRPr="00062773">
        <w:rPr>
          <w:b/>
        </w:rPr>
        <w:t>— Second sujet </w:t>
      </w:r>
      <w:r w:rsidRPr="00062773">
        <w:t xml:space="preserve">: Commentez cet extrait de Grotius, </w:t>
      </w:r>
      <w:r w:rsidRPr="00062773">
        <w:rPr>
          <w:i/>
          <w:iCs/>
        </w:rPr>
        <w:t>Droit de la guerre et de la paix</w:t>
      </w:r>
      <w:r w:rsidRPr="00062773">
        <w:t>, 1625, livre II, chapitre XXII</w:t>
      </w:r>
    </w:p>
    <w:p w14:paraId="10487466" w14:textId="77777777" w:rsidR="00827B2E" w:rsidRPr="00062773" w:rsidRDefault="00827B2E" w:rsidP="00421DD8"/>
    <w:p w14:paraId="260D8D41" w14:textId="77777777" w:rsidR="00421DD8" w:rsidRPr="00062773" w:rsidRDefault="00421DD8" w:rsidP="00421DD8">
      <w:pPr>
        <w:spacing w:line="360" w:lineRule="auto"/>
        <w:jc w:val="both"/>
      </w:pPr>
      <w:r w:rsidRPr="00062773">
        <w:t xml:space="preserve">« Le titre attribué par quelques-uns à l’empereur romain , et suivant lequel il aurait le droit à commander aux peuples les plus éloignés, et à ceux même qui sont inconnus jusqu’à présent, est ridicule… Il se fonde sur ce que l’empereur se donne quelquefois la qualification de « maître du monde » et sur ce que, dans les lettres sacrées, cet empire… est désigné sous le nom de « terre habitable ».  … Ces expressions et beaucoup d’autres semblables (sont) employées par </w:t>
      </w:r>
      <w:r w:rsidRPr="00062773">
        <w:lastRenderedPageBreak/>
        <w:t>synecdoche</w:t>
      </w:r>
      <w:r w:rsidRPr="00062773">
        <w:rPr>
          <w:rStyle w:val="Appelnotedebasdep"/>
        </w:rPr>
        <w:footnoteReference w:id="1"/>
      </w:r>
      <w:r w:rsidRPr="00062773">
        <w:t xml:space="preserve"> ou par hyperbole ou par excellence. Aussi dans les mêmes lettres sacrées, la seule Judée vient-elle aussi se placer sous le nom de « terre habitable » … de la même manière que Delphes, placée au milieu de la Grèce, était appelé par la même raison « le nombril du monde ». Et il n’y a pas à se laisser ébranler par  les arguments de Dante, au moyen desquels il s’efforce de prouver qu’un droit pareil appartient à l’empereur, parce que c’est avantageux du genre humain. Car les avantages qu’il allègue sont compensés par les inconvénients qui les accompagne. De même en effet, qu’un navire peut atteindre une dimension telle qu’il ne puisse plus être gouverné, de même le nombre des hommes et la distance des lieux peuvent avoir des proportions si vastes, qu’elles ne supportent point un seul gouvernement ». </w:t>
      </w:r>
    </w:p>
    <w:p w14:paraId="0EF4A43F" w14:textId="46A63789" w:rsidR="00BF393C" w:rsidRDefault="00BF393C" w:rsidP="00421DD8"/>
    <w:sectPr w:rsidR="00BF39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1D80" w14:textId="77777777" w:rsidR="001D6D04" w:rsidRDefault="001D6D04" w:rsidP="00421DD8">
      <w:r>
        <w:separator/>
      </w:r>
    </w:p>
  </w:endnote>
  <w:endnote w:type="continuationSeparator" w:id="0">
    <w:p w14:paraId="49ADD620" w14:textId="77777777" w:rsidR="001D6D04" w:rsidRDefault="001D6D04" w:rsidP="0042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2FF4" w14:textId="77777777" w:rsidR="001D6D04" w:rsidRDefault="001D6D04" w:rsidP="00421DD8">
      <w:r>
        <w:separator/>
      </w:r>
    </w:p>
  </w:footnote>
  <w:footnote w:type="continuationSeparator" w:id="0">
    <w:p w14:paraId="64FE0CFA" w14:textId="77777777" w:rsidR="001D6D04" w:rsidRDefault="001D6D04" w:rsidP="00421DD8">
      <w:r>
        <w:continuationSeparator/>
      </w:r>
    </w:p>
  </w:footnote>
  <w:footnote w:id="1">
    <w:p w14:paraId="612387B1" w14:textId="77777777" w:rsidR="00421DD8" w:rsidRPr="001A77E8" w:rsidRDefault="00421DD8" w:rsidP="00421DD8">
      <w:pPr>
        <w:rPr>
          <w:color w:val="333333"/>
          <w:sz w:val="20"/>
          <w:szCs w:val="20"/>
        </w:rPr>
      </w:pPr>
      <w:r w:rsidRPr="001A77E8">
        <w:rPr>
          <w:rStyle w:val="Appelnotedebasdep"/>
        </w:rPr>
        <w:footnoteRef/>
      </w:r>
      <w:r w:rsidRPr="001A77E8">
        <w:rPr>
          <w:sz w:val="20"/>
          <w:szCs w:val="20"/>
        </w:rPr>
        <w:t xml:space="preserve"> D’après le dictionnaire Littré</w:t>
      </w:r>
      <w:r>
        <w:rPr>
          <w:sz w:val="20"/>
          <w:szCs w:val="20"/>
        </w:rPr>
        <w:t xml:space="preserve">. </w:t>
      </w:r>
      <w:r>
        <w:rPr>
          <w:color w:val="333333"/>
          <w:sz w:val="20"/>
          <w:szCs w:val="20"/>
        </w:rPr>
        <w:t>S</w:t>
      </w:r>
      <w:r w:rsidRPr="001A77E8">
        <w:rPr>
          <w:color w:val="333333"/>
          <w:sz w:val="20"/>
          <w:szCs w:val="20"/>
        </w:rPr>
        <w:t>ynecdoche </w:t>
      </w:r>
      <w:r w:rsidRPr="001A77E8">
        <w:rPr>
          <w:i/>
          <w:iCs/>
          <w:color w:val="333333"/>
          <w:sz w:val="20"/>
          <w:szCs w:val="20"/>
        </w:rPr>
        <w:t>ou</w:t>
      </w:r>
      <w:r w:rsidRPr="001A77E8">
        <w:rPr>
          <w:color w:val="333333"/>
          <w:sz w:val="20"/>
          <w:szCs w:val="20"/>
        </w:rPr>
        <w:t> synecdoqu</w:t>
      </w:r>
      <w:r>
        <w:rPr>
          <w:color w:val="333333"/>
          <w:sz w:val="20"/>
          <w:szCs w:val="20"/>
        </w:rPr>
        <w:t xml:space="preserve">e : </w:t>
      </w:r>
      <w:r w:rsidRPr="001A77E8">
        <w:rPr>
          <w:color w:val="333333"/>
          <w:sz w:val="20"/>
          <w:szCs w:val="20"/>
        </w:rPr>
        <w:t>Figure par laquelle on prend le genre pour l'espèce, ou l'espèce pour le genre, le tout pour la partie, ou la partie pour le tout. Exemples : une voile pour un navire ; les flots pour la mer ; l'airain pour les canons.</w:t>
      </w:r>
    </w:p>
    <w:p w14:paraId="2B19733C" w14:textId="77777777" w:rsidR="00421DD8" w:rsidRDefault="00421DD8" w:rsidP="00421DD8">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1D6D04"/>
    <w:rsid w:val="002F1A53"/>
    <w:rsid w:val="00325FF0"/>
    <w:rsid w:val="003B417D"/>
    <w:rsid w:val="00421DD8"/>
    <w:rsid w:val="004F6AF8"/>
    <w:rsid w:val="006706BC"/>
    <w:rsid w:val="006E78FF"/>
    <w:rsid w:val="00827B2E"/>
    <w:rsid w:val="008903D6"/>
    <w:rsid w:val="00944A74"/>
    <w:rsid w:val="00AB6A7C"/>
    <w:rsid w:val="00AE726E"/>
    <w:rsid w:val="00BB4C4E"/>
    <w:rsid w:val="00BF393C"/>
    <w:rsid w:val="00C62AB8"/>
    <w:rsid w:val="00C75E78"/>
    <w:rsid w:val="00CD2095"/>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0336"/>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21DD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1DD8"/>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semiHidden/>
    <w:unhideWhenUsed/>
    <w:rsid w:val="00421DD8"/>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421DD8"/>
    <w:rPr>
      <w:sz w:val="20"/>
      <w:szCs w:val="20"/>
    </w:rPr>
  </w:style>
  <w:style w:type="character" w:styleId="Appelnotedebasdep">
    <w:name w:val="footnote reference"/>
    <w:basedOn w:val="Policepardfaut"/>
    <w:semiHidden/>
    <w:unhideWhenUsed/>
    <w:rsid w:val="00421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15</cp:revision>
  <dcterms:created xsi:type="dcterms:W3CDTF">2020-11-02T14:23:00Z</dcterms:created>
  <dcterms:modified xsi:type="dcterms:W3CDTF">2021-04-27T11:00:00Z</dcterms:modified>
</cp:coreProperties>
</file>