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ind w:firstLine="0"/>
        <w:jc w:val="center"/>
        <w:rPr>
          <w:b/>
          <w:lang w:val="fr-FR"/>
        </w:rPr>
      </w:pPr>
      <w:r>
        <w:rPr>
          <w:b/>
          <w:lang w:val="fr-FR"/>
        </w:rPr>
        <w:t>UNIVERSITE PANTHEON-ASSAS (PARIS II)</w:t>
      </w:r>
    </w:p>
    <w:p>
      <w:pPr>
        <w:pStyle w:val="BodyText"/>
        <w:rPr>
          <w:lang w:val="fr-FR"/>
        </w:rPr>
      </w:pPr>
    </w:p>
    <w:p>
      <w:pPr>
        <w:pStyle w:val="BodyText"/>
        <w:ind w:firstLine="0"/>
        <w:jc w:val="center"/>
        <w:rPr>
          <w:u w:val="single"/>
          <w:lang w:val="fr-FR"/>
        </w:rPr>
      </w:pPr>
      <w:r>
        <w:rPr>
          <w:u w:val="single"/>
          <w:lang w:val="fr-FR"/>
        </w:rPr>
        <w:t>Année Universitaire 2020-2021</w:t>
      </w:r>
    </w:p>
    <w:p>
      <w:pPr>
        <w:pStyle w:val="BodyText"/>
        <w:jc w:val="both"/>
        <w:rPr>
          <w:lang w:val="fr-FR"/>
        </w:rPr>
      </w:pPr>
    </w:p>
    <w:p>
      <w:pPr>
        <w:pStyle w:val="BodyText"/>
        <w:jc w:val="both"/>
        <w:rPr>
          <w:lang w:val="fr-FR"/>
        </w:rPr>
      </w:pPr>
    </w:p>
    <w:p>
      <w:pPr>
        <w:pStyle w:val="BodyText"/>
        <w:ind w:firstLine="0"/>
        <w:jc w:val="both"/>
        <w:rPr>
          <w:b/>
          <w:lang w:val="fr-FR"/>
        </w:rPr>
      </w:pPr>
      <w:r>
        <w:rPr>
          <w:b/>
          <w:lang w:val="fr-FR"/>
        </w:rPr>
        <w:t>DROIT FISCAL DES AFFAIRES 2</w:t>
      </w:r>
    </w:p>
    <w:p>
      <w:pPr>
        <w:pStyle w:val="BodyText"/>
        <w:ind w:firstLine="0"/>
        <w:jc w:val="both"/>
        <w:rPr>
          <w:lang w:val="fr-FR"/>
        </w:rPr>
      </w:pPr>
    </w:p>
    <w:p>
      <w:pPr>
        <w:pStyle w:val="BodyText"/>
        <w:ind w:firstLine="0"/>
        <w:jc w:val="both"/>
        <w:rPr>
          <w:smallCaps/>
          <w:lang w:val="fr-FR"/>
        </w:rPr>
      </w:pPr>
      <w:r>
        <w:rPr>
          <w:lang w:val="fr-FR"/>
        </w:rPr>
        <w:t xml:space="preserve">Monsieur le Professeur </w:t>
      </w:r>
      <w:r>
        <w:rPr>
          <w:smallCaps/>
          <w:lang w:val="fr-FR"/>
        </w:rPr>
        <w:t>Blanluet</w:t>
      </w:r>
    </w:p>
    <w:p>
      <w:pPr>
        <w:pStyle w:val="BodyText"/>
        <w:ind w:firstLine="0"/>
        <w:jc w:val="both"/>
        <w:rPr>
          <w:lang w:val="fr-FR"/>
        </w:rPr>
      </w:pPr>
    </w:p>
    <w:p>
      <w:pPr>
        <w:pStyle w:val="BodyText"/>
        <w:spacing w:after="0"/>
        <w:ind w:firstLine="0"/>
        <w:jc w:val="both"/>
        <w:rPr>
          <w:u w:val="single"/>
          <w:lang w:val="fr-FR"/>
        </w:rPr>
      </w:pPr>
      <w:r>
        <w:rPr>
          <w:u w:val="single"/>
          <w:lang w:val="fr-FR"/>
        </w:rPr>
        <w:t>Magistère de Juristes d’Affaires 2</w:t>
      </w:r>
      <w:proofErr w:type="spellStart"/>
      <w:r>
        <w:rPr>
          <w:position w:val="8"/>
          <w:sz w:val="19"/>
          <w:u w:val="single"/>
          <w:lang w:val="fr-FR"/>
        </w:rPr>
        <w:t>ème</w:t>
      </w:r>
      <w:proofErr w:type="spellEnd"/>
      <w:r>
        <w:rPr>
          <w:u w:val="single"/>
          <w:lang w:val="fr-FR"/>
        </w:rPr>
        <w:t xml:space="preserve"> année</w:t>
      </w:r>
    </w:p>
    <w:p>
      <w:pPr>
        <w:pStyle w:val="BodyText"/>
        <w:ind w:firstLine="0"/>
        <w:rPr>
          <w:u w:val="single"/>
          <w:lang w:val="fr-FR"/>
        </w:rPr>
      </w:pPr>
      <w:r>
        <w:rPr>
          <w:u w:val="single"/>
          <w:lang w:val="fr-FR"/>
        </w:rPr>
        <w:t>Maîtrise Droit, Droit des Affaires</w:t>
      </w:r>
      <w:r>
        <w:rPr>
          <w:u w:val="single"/>
          <w:lang w:val="fr-FR"/>
        </w:rPr>
        <w:br/>
        <w:t>Maîtrise Droit, Droit Notarial</w:t>
      </w:r>
    </w:p>
    <w:p>
      <w:pPr>
        <w:pStyle w:val="BodyText"/>
        <w:rPr>
          <w:lang w:val="fr-FR"/>
        </w:rPr>
      </w:pPr>
    </w:p>
    <w:p>
      <w:pPr>
        <w:pStyle w:val="BodyText"/>
        <w:rPr>
          <w:lang w:val="fr-FR"/>
        </w:rPr>
      </w:pPr>
    </w:p>
    <w:p>
      <w:pPr>
        <w:pStyle w:val="BodyText"/>
        <w:ind w:firstLine="0"/>
        <w:jc w:val="center"/>
        <w:rPr>
          <w:u w:val="single"/>
          <w:lang w:val="fr-FR"/>
        </w:rPr>
      </w:pPr>
      <w:r>
        <w:rPr>
          <w:u w:val="single"/>
          <w:lang w:val="fr-FR"/>
        </w:rPr>
        <w:t>PARTIEL – SECOND SEMESTRE</w:t>
      </w:r>
    </w:p>
    <w:p>
      <w:pPr>
        <w:pStyle w:val="BodyText"/>
        <w:ind w:firstLine="0"/>
        <w:jc w:val="center"/>
        <w:rPr>
          <w:u w:val="single"/>
          <w:lang w:val="fr-FR"/>
        </w:rPr>
      </w:pPr>
      <w:r>
        <w:rPr>
          <w:u w:val="single"/>
          <w:lang w:val="fr-FR"/>
        </w:rPr>
        <w:t>Epreuve du 21 mai 2021 de 12h à 14h</w:t>
      </w:r>
    </w:p>
    <w:p>
      <w:pPr>
        <w:pStyle w:val="BodyText"/>
        <w:rPr>
          <w:lang w:val="fr-FR"/>
        </w:rPr>
      </w:pPr>
    </w:p>
    <w:p>
      <w:pPr>
        <w:pStyle w:val="BodyText"/>
        <w:rPr>
          <w:lang w:val="fr-FR"/>
        </w:rPr>
      </w:pPr>
    </w:p>
    <w:p>
      <w:pPr>
        <w:pStyle w:val="BodyText"/>
        <w:ind w:firstLine="0"/>
        <w:jc w:val="both"/>
        <w:rPr>
          <w:i/>
          <w:u w:val="single"/>
          <w:lang w:val="fr-FR"/>
        </w:rPr>
      </w:pPr>
      <w:r>
        <w:rPr>
          <w:i/>
          <w:u w:val="single"/>
          <w:lang w:val="fr-FR"/>
        </w:rPr>
        <w:t xml:space="preserve">Ouvrage Autorisé : le Code Général des Impôts (à l’exclusion du </w:t>
      </w:r>
      <w:proofErr w:type="spellStart"/>
      <w:r>
        <w:rPr>
          <w:i/>
          <w:u w:val="single"/>
          <w:lang w:val="fr-FR"/>
        </w:rPr>
        <w:t>mégacode</w:t>
      </w:r>
      <w:proofErr w:type="spellEnd"/>
      <w:r>
        <w:rPr>
          <w:i/>
          <w:u w:val="single"/>
          <w:lang w:val="fr-FR"/>
        </w:rPr>
        <w:t xml:space="preserve"> Dalloz)</w:t>
      </w:r>
    </w:p>
    <w:p>
      <w:pPr>
        <w:pStyle w:val="BodyText"/>
        <w:ind w:firstLine="0"/>
        <w:jc w:val="both"/>
        <w:rPr>
          <w:lang w:val="fr-FR"/>
        </w:rPr>
      </w:pPr>
      <w:r>
        <w:rPr>
          <w:i/>
          <w:u w:val="single"/>
          <w:lang w:val="fr-FR"/>
        </w:rPr>
        <w:t>Calculatrices 4 opérations autorisées</w:t>
      </w:r>
      <w:r>
        <w:rPr>
          <w:lang w:val="fr-FR"/>
        </w:rPr>
        <w:t> </w:t>
      </w:r>
    </w:p>
    <w:p>
      <w:pPr>
        <w:rPr>
          <w:b/>
          <w:u w:val="single"/>
          <w:lang w:val="fr-FR"/>
        </w:rPr>
      </w:pPr>
      <w:r>
        <w:rPr>
          <w:b/>
          <w:u w:val="single"/>
          <w:lang w:val="fr-FR"/>
        </w:rPr>
        <w:br w:type="page"/>
      </w:r>
    </w:p>
    <w:p>
      <w:pPr>
        <w:jc w:val="both"/>
        <w:rPr>
          <w:b/>
          <w:u w:val="single"/>
          <w:lang w:val="fr-FR"/>
        </w:rPr>
      </w:pPr>
      <w:r>
        <w:rPr>
          <w:b/>
          <w:u w:val="single"/>
          <w:lang w:val="fr-FR"/>
        </w:rPr>
        <w:lastRenderedPageBreak/>
        <w:t>Exercice n°1 (7 points)</w:t>
      </w:r>
    </w:p>
    <w:p>
      <w:pPr>
        <w:jc w:val="both"/>
        <w:rPr>
          <w:b/>
          <w:u w:val="single"/>
          <w:lang w:val="fr-FR"/>
        </w:rPr>
      </w:pPr>
    </w:p>
    <w:p>
      <w:pPr>
        <w:jc w:val="both"/>
        <w:rPr>
          <w:lang w:val="fr-FR"/>
        </w:rPr>
      </w:pPr>
      <w:r>
        <w:rPr>
          <w:lang w:val="fr-FR"/>
        </w:rPr>
        <w:t>Depuis maintenant plus d’un siècle, la société par actions simplifiée NESTOR exerce une activité de fabrication et de vente de chaussures de luxe. Bien implantée sur le sol français, elle dispose :</w:t>
      </w:r>
    </w:p>
    <w:p>
      <w:pPr>
        <w:pStyle w:val="ListParagraph"/>
        <w:numPr>
          <w:ilvl w:val="0"/>
          <w:numId w:val="26"/>
        </w:numPr>
        <w:jc w:val="both"/>
        <w:rPr>
          <w:lang w:val="fr-FR"/>
        </w:rPr>
      </w:pPr>
      <w:r>
        <w:rPr>
          <w:lang w:val="fr-FR"/>
        </w:rPr>
        <w:t>pour assurer la fabrication : d’usines de tannerie et d’assemblage lui permettant de suivre au plus près la fabrication de ses souliers du simple lacet jusqu’à la trépointe, actifs représentant la majeure partie de ses immobilisations et qui emploient de nombreux salariés ;</w:t>
      </w:r>
    </w:p>
    <w:p>
      <w:pPr>
        <w:pStyle w:val="ListParagraph"/>
        <w:numPr>
          <w:ilvl w:val="0"/>
          <w:numId w:val="26"/>
        </w:numPr>
        <w:jc w:val="both"/>
        <w:rPr>
          <w:lang w:val="fr-FR"/>
        </w:rPr>
      </w:pPr>
      <w:r>
        <w:rPr>
          <w:lang w:val="fr-FR"/>
        </w:rPr>
        <w:t>pour commercialiser ses produits : d’un réseau efficace de magasins qui emploient des salariés bien formés afin de répondre aux attentes de ses clients les plus exigeants.</w:t>
      </w:r>
    </w:p>
    <w:p>
      <w:pPr>
        <w:jc w:val="both"/>
        <w:rPr>
          <w:lang w:val="fr-FR"/>
        </w:rPr>
      </w:pPr>
    </w:p>
    <w:p>
      <w:pPr>
        <w:jc w:val="both"/>
        <w:rPr>
          <w:lang w:val="fr-FR"/>
        </w:rPr>
      </w:pPr>
      <w:r>
        <w:rPr>
          <w:lang w:val="fr-FR"/>
        </w:rPr>
        <w:t>Rencontrant des difficultés pour s’adapter au comportement de sa nouvelle clientèle jeune mais qui n’en demeure pas moins avertie, elle a réalisé au cours des derniers exercices des pertes importantes.</w:t>
      </w:r>
    </w:p>
    <w:p>
      <w:pPr>
        <w:jc w:val="both"/>
        <w:rPr>
          <w:lang w:val="fr-FR"/>
        </w:rPr>
      </w:pPr>
    </w:p>
    <w:p>
      <w:pPr>
        <w:jc w:val="both"/>
        <w:rPr>
          <w:lang w:val="fr-FR"/>
        </w:rPr>
      </w:pPr>
      <w:r>
        <w:rPr>
          <w:lang w:val="fr-FR"/>
        </w:rPr>
        <w:t>Le Directeur financier de NESTOR souhaiterait restructurer l’organisation de sa société et se pose de nombreuses questions.</w:t>
      </w:r>
    </w:p>
    <w:p>
      <w:pPr>
        <w:tabs>
          <w:tab w:val="left" w:pos="1440"/>
        </w:tabs>
        <w:jc w:val="both"/>
        <w:rPr>
          <w:i/>
          <w:color w:val="FF0000"/>
          <w:lang w:val="fr-FR"/>
        </w:rPr>
      </w:pPr>
    </w:p>
    <w:p>
      <w:pPr>
        <w:tabs>
          <w:tab w:val="left" w:pos="1440"/>
        </w:tabs>
        <w:jc w:val="both"/>
        <w:rPr>
          <w:iCs/>
          <w:lang w:val="fr-FR"/>
        </w:rPr>
      </w:pPr>
      <w:r>
        <w:rPr>
          <w:b/>
          <w:bCs/>
          <w:iCs/>
          <w:lang w:val="fr-FR"/>
        </w:rPr>
        <w:t>1)</w:t>
      </w:r>
      <w:r>
        <w:rPr>
          <w:i/>
          <w:lang w:val="fr-FR"/>
        </w:rPr>
        <w:t xml:space="preserve"> </w:t>
      </w:r>
      <w:r>
        <w:rPr>
          <w:b/>
          <w:bCs/>
          <w:iCs/>
          <w:lang w:val="fr-FR"/>
        </w:rPr>
        <w:t xml:space="preserve">(3 points) </w:t>
      </w:r>
      <w:r>
        <w:rPr>
          <w:iCs/>
          <w:lang w:val="fr-FR"/>
        </w:rPr>
        <w:t xml:space="preserve">Il vous interroge sur la possibilité d’apporter la branche production à une nouvelle société ROTOR relevant de l’IS en bénéficiant du régime de faveur. Pensez-vous que les conditions seront réunies en l’espèce ? Quelles sont les conséquences fiscales ? </w:t>
      </w:r>
    </w:p>
    <w:p>
      <w:pPr>
        <w:tabs>
          <w:tab w:val="left" w:pos="1440"/>
        </w:tabs>
        <w:jc w:val="both"/>
        <w:rPr>
          <w:i/>
          <w:color w:val="FF0000"/>
          <w:lang w:val="fr-FR"/>
        </w:rPr>
      </w:pPr>
    </w:p>
    <w:p>
      <w:pPr>
        <w:tabs>
          <w:tab w:val="left" w:pos="1440"/>
        </w:tabs>
        <w:jc w:val="both"/>
        <w:rPr>
          <w:i/>
          <w:color w:val="FF0000"/>
          <w:lang w:val="fr-FR"/>
        </w:rPr>
      </w:pPr>
      <w:r>
        <w:rPr>
          <w:b/>
          <w:bCs/>
          <w:iCs/>
          <w:lang w:val="fr-FR"/>
        </w:rPr>
        <w:t>2)</w:t>
      </w:r>
      <w:r>
        <w:rPr>
          <w:i/>
          <w:lang w:val="fr-FR"/>
        </w:rPr>
        <w:t xml:space="preserve"> </w:t>
      </w:r>
      <w:r>
        <w:rPr>
          <w:b/>
          <w:bCs/>
          <w:iCs/>
          <w:lang w:val="fr-FR"/>
        </w:rPr>
        <w:t xml:space="preserve">(2 points) </w:t>
      </w:r>
      <w:r>
        <w:rPr>
          <w:iCs/>
          <w:lang w:val="fr-FR"/>
        </w:rPr>
        <w:t xml:space="preserve">Dans le cas où la société NESTOR souhaiterait transférer la branche production sans certains actifs pourtant liés à cette activité, serait-il néanmoins possible de bénéficier du régime fiscal de faveur ? </w:t>
      </w:r>
    </w:p>
    <w:p>
      <w:pPr>
        <w:jc w:val="both"/>
        <w:rPr>
          <w:i/>
          <w:color w:val="FF0000"/>
          <w:lang w:val="fr-FR"/>
        </w:rPr>
      </w:pPr>
    </w:p>
    <w:p>
      <w:pPr>
        <w:jc w:val="both"/>
        <w:rPr>
          <w:color w:val="000000"/>
          <w:lang w:val="fr-FR"/>
        </w:rPr>
      </w:pPr>
      <w:r>
        <w:rPr>
          <w:b/>
          <w:color w:val="000000"/>
          <w:lang w:val="fr-FR"/>
        </w:rPr>
        <w:t>3) (1 point)</w:t>
      </w:r>
      <w:r>
        <w:rPr>
          <w:color w:val="000000"/>
          <w:lang w:val="fr-FR"/>
        </w:rPr>
        <w:t xml:space="preserve"> En cas de réalisation de l’apport partiel d’actifs, les actifs transférés seront-ils inscrits à la valeur comptable ou à la valeur réelle ?</w:t>
      </w:r>
    </w:p>
    <w:p>
      <w:pPr>
        <w:jc w:val="both"/>
        <w:rPr>
          <w:i/>
          <w:color w:val="FF0000"/>
          <w:lang w:val="fr-FR"/>
        </w:rPr>
      </w:pPr>
    </w:p>
    <w:p>
      <w:pPr>
        <w:jc w:val="both"/>
        <w:rPr>
          <w:iCs/>
          <w:lang w:val="fr-FR"/>
        </w:rPr>
      </w:pPr>
      <w:r>
        <w:rPr>
          <w:b/>
          <w:bCs/>
          <w:iCs/>
          <w:lang w:val="fr-FR"/>
        </w:rPr>
        <w:t>4)</w:t>
      </w:r>
      <w:r>
        <w:rPr>
          <w:iCs/>
          <w:lang w:val="fr-FR"/>
        </w:rPr>
        <w:t xml:space="preserve"> </w:t>
      </w:r>
      <w:r>
        <w:rPr>
          <w:b/>
          <w:bCs/>
          <w:iCs/>
          <w:lang w:val="fr-FR"/>
        </w:rPr>
        <w:t>(1 point)</w:t>
      </w:r>
      <w:r>
        <w:rPr>
          <w:iCs/>
          <w:lang w:val="fr-FR"/>
        </w:rPr>
        <w:t xml:space="preserve"> Le Directeur financier s’inquiète de l’impact de cette opération sur les déficits reportables de la société NESTOR. Pouvez-vous l’aider ?</w:t>
      </w:r>
    </w:p>
    <w:p>
      <w:pPr>
        <w:jc w:val="both"/>
        <w:rPr>
          <w:i/>
          <w:color w:val="FF0000"/>
          <w:lang w:val="fr-FR"/>
        </w:rPr>
      </w:pPr>
    </w:p>
    <w:p>
      <w:pPr>
        <w:jc w:val="both"/>
        <w:rPr>
          <w:b/>
          <w:u w:val="single"/>
          <w:lang w:val="fr-FR"/>
        </w:rPr>
      </w:pPr>
      <w:r>
        <w:rPr>
          <w:b/>
          <w:u w:val="single"/>
          <w:lang w:val="fr-FR"/>
        </w:rPr>
        <w:t>Exercice n°2 (8 points)</w:t>
      </w:r>
    </w:p>
    <w:p>
      <w:pPr>
        <w:jc w:val="both"/>
        <w:rPr>
          <w:iCs/>
          <w:lang w:val="fr-FR"/>
        </w:rPr>
      </w:pPr>
    </w:p>
    <w:p>
      <w:pPr>
        <w:jc w:val="both"/>
        <w:rPr>
          <w:iCs/>
          <w:lang w:val="fr-FR"/>
        </w:rPr>
      </w:pPr>
      <w:r>
        <w:rPr>
          <w:iCs/>
          <w:lang w:val="fr-FR"/>
        </w:rPr>
        <w:t xml:space="preserve">Monsieur A et Madame B souhaitent constituer ensemble une SARL afin de développer une activité de conseil pour les acteurs du service touristique et des résidences de plaisance. Ils envisagent de procéder à des apports lors de la constitution de la société, comme suit : </w:t>
      </w:r>
    </w:p>
    <w:p>
      <w:pPr>
        <w:jc w:val="both"/>
        <w:rPr>
          <w:iCs/>
          <w:lang w:val="fr-FR"/>
        </w:rPr>
      </w:pPr>
    </w:p>
    <w:p>
      <w:pPr>
        <w:pStyle w:val="ListParagraph"/>
        <w:numPr>
          <w:ilvl w:val="0"/>
          <w:numId w:val="27"/>
        </w:numPr>
        <w:spacing w:after="120"/>
        <w:ind w:left="714" w:hanging="357"/>
        <w:contextualSpacing w:val="0"/>
        <w:jc w:val="both"/>
        <w:rPr>
          <w:iCs/>
          <w:lang w:val="fr-FR"/>
        </w:rPr>
      </w:pPr>
      <w:r>
        <w:rPr>
          <w:iCs/>
          <w:lang w:val="fr-FR"/>
        </w:rPr>
        <w:t xml:space="preserve">Monsieur A </w:t>
      </w:r>
      <w:proofErr w:type="spellStart"/>
      <w:r>
        <w:rPr>
          <w:iCs/>
          <w:lang w:val="fr-FR"/>
        </w:rPr>
        <w:t>exerce</w:t>
      </w:r>
      <w:proofErr w:type="spellEnd"/>
      <w:r>
        <w:rPr>
          <w:iCs/>
          <w:lang w:val="fr-FR"/>
        </w:rPr>
        <w:t xml:space="preserve"> actuellement une activité de conseil dans ce domaine et dispose à cet égard d’un fonds de commerce qu’il souhaiterait apporter à la SARL. Son fonds de commerce est valorisé 200.000€. Monsieur A transférerait également une dette bancaire de 50.000€ souscrite pour financer les besoins de trésorerie de son activité ; </w:t>
      </w:r>
    </w:p>
    <w:p>
      <w:pPr>
        <w:pStyle w:val="ListParagraph"/>
        <w:numPr>
          <w:ilvl w:val="0"/>
          <w:numId w:val="27"/>
        </w:numPr>
        <w:jc w:val="both"/>
        <w:rPr>
          <w:iCs/>
          <w:lang w:val="fr-FR"/>
        </w:rPr>
      </w:pPr>
      <w:r>
        <w:rPr>
          <w:iCs/>
          <w:lang w:val="fr-FR"/>
        </w:rPr>
        <w:t xml:space="preserve">Madame B, dont le rôle consisterait à apporter un soutien financier à la SARL, est prête à investir 400.000€ en numéraire. Elle envisage également d’apporter à la SARL une résidence de tourisme dont elle est propriétaire dans le sud de la France, valorisée 1.000.000€. </w:t>
      </w:r>
    </w:p>
    <w:p>
      <w:pPr>
        <w:jc w:val="both"/>
        <w:rPr>
          <w:iCs/>
          <w:lang w:val="fr-FR"/>
        </w:rPr>
      </w:pPr>
    </w:p>
    <w:p>
      <w:pPr>
        <w:jc w:val="both"/>
        <w:rPr>
          <w:b/>
          <w:iCs/>
          <w:lang w:val="fr-FR"/>
        </w:rPr>
      </w:pPr>
      <w:r>
        <w:rPr>
          <w:b/>
          <w:iCs/>
          <w:lang w:val="fr-FR"/>
        </w:rPr>
        <w:lastRenderedPageBreak/>
        <w:t xml:space="preserve">1) (4 points) </w:t>
      </w:r>
      <w:r>
        <w:rPr>
          <w:iCs/>
          <w:lang w:val="fr-FR"/>
        </w:rPr>
        <w:t>Monsieur A et Madame B viennent vous consulter pour connaitre le traitement, au regard des droits d’enregistrement, des apports qu’ils envisagent. Que leur indiquez-vous ? Est-il possible d’optimiser le coût de ces apports ?</w:t>
      </w:r>
      <w:r>
        <w:rPr>
          <w:b/>
          <w:iCs/>
          <w:lang w:val="fr-FR"/>
        </w:rPr>
        <w:t xml:space="preserve">  </w:t>
      </w:r>
    </w:p>
    <w:p>
      <w:pPr>
        <w:jc w:val="both"/>
        <w:rPr>
          <w:iCs/>
          <w:color w:val="FF0000"/>
          <w:lang w:val="fr-FR"/>
        </w:rPr>
      </w:pPr>
    </w:p>
    <w:p>
      <w:pPr>
        <w:jc w:val="both"/>
        <w:rPr>
          <w:b/>
          <w:iCs/>
          <w:lang w:val="fr-FR"/>
        </w:rPr>
      </w:pPr>
      <w:r>
        <w:rPr>
          <w:b/>
          <w:iCs/>
          <w:lang w:val="fr-FR"/>
        </w:rPr>
        <w:t xml:space="preserve">2) (2 points) </w:t>
      </w:r>
      <w:r>
        <w:rPr>
          <w:iCs/>
          <w:lang w:val="fr-FR"/>
        </w:rPr>
        <w:t xml:space="preserve">Dans le mois suivant la réalisation des apports, Monsieur A </w:t>
      </w:r>
      <w:proofErr w:type="spellStart"/>
      <w:r>
        <w:rPr>
          <w:iCs/>
          <w:lang w:val="fr-FR"/>
        </w:rPr>
        <w:t>décide</w:t>
      </w:r>
      <w:proofErr w:type="spellEnd"/>
      <w:r>
        <w:rPr>
          <w:iCs/>
          <w:lang w:val="fr-FR"/>
        </w:rPr>
        <w:t xml:space="preserve"> de céder 100% de ses titres de la SARL à sa holding personnelle (SAS). Tirez les conséquences fiscales de cette cession au regard des droits d’enregistrement.</w:t>
      </w:r>
    </w:p>
    <w:p>
      <w:pPr>
        <w:jc w:val="both"/>
        <w:rPr>
          <w:iCs/>
          <w:lang w:val="fr-FR"/>
        </w:rPr>
      </w:pPr>
    </w:p>
    <w:p>
      <w:pPr>
        <w:jc w:val="both"/>
        <w:rPr>
          <w:iCs/>
          <w:lang w:val="fr-FR"/>
        </w:rPr>
      </w:pPr>
      <w:r>
        <w:rPr>
          <w:b/>
          <w:iCs/>
          <w:lang w:val="fr-FR"/>
        </w:rPr>
        <w:t xml:space="preserve">3) (2 points) </w:t>
      </w:r>
      <w:r>
        <w:rPr>
          <w:iCs/>
          <w:lang w:val="fr-FR"/>
        </w:rPr>
        <w:t>Suite à des désaccords persistants entre Monsieur A et Madame B, les associés décident finalement de liquider la SARL et de se répartir les actifs de la société. Ils s’interrogent sur le traitement de cette opération au regard des droits d’enregistrement. Monsieur A vous indique qu’il ne souhaite pas nécessairement se voir transférer le fonds de commerce et que ce dernier pourrait être remis à Madame B.</w:t>
      </w:r>
    </w:p>
    <w:p>
      <w:pPr>
        <w:jc w:val="both"/>
        <w:rPr>
          <w:i/>
          <w:iCs/>
          <w:color w:val="FF0000"/>
          <w:lang w:val="fr-FR"/>
        </w:rPr>
      </w:pPr>
    </w:p>
    <w:p>
      <w:pPr>
        <w:jc w:val="both"/>
        <w:rPr>
          <w:b/>
          <w:u w:val="single"/>
          <w:lang w:val="fr-FR"/>
        </w:rPr>
      </w:pPr>
      <w:r>
        <w:rPr>
          <w:b/>
          <w:u w:val="single"/>
          <w:lang w:val="fr-FR"/>
        </w:rPr>
        <w:t>Exercice n°3 (5 points)</w:t>
      </w:r>
    </w:p>
    <w:p>
      <w:pPr>
        <w:jc w:val="both"/>
        <w:rPr>
          <w:lang w:val="fr-FR"/>
        </w:rPr>
      </w:pPr>
    </w:p>
    <w:p>
      <w:pPr>
        <w:jc w:val="both"/>
        <w:rPr>
          <w:lang w:val="fr-FR"/>
        </w:rPr>
      </w:pPr>
      <w:r>
        <w:rPr>
          <w:lang w:val="fr-FR"/>
        </w:rPr>
        <w:t xml:space="preserve">La société Global Ecopower qui développe et construit des parcs photovoltaïques en France a constaté au cours du mois de mai 2021 les opérations suivantes en comptabilité : </w:t>
      </w:r>
    </w:p>
    <w:p>
      <w:pPr>
        <w:jc w:val="both"/>
        <w:rPr>
          <w:lang w:val="fr-FR"/>
        </w:rPr>
      </w:pPr>
    </w:p>
    <w:p>
      <w:pPr>
        <w:pStyle w:val="ListParagraph"/>
        <w:numPr>
          <w:ilvl w:val="0"/>
          <w:numId w:val="28"/>
        </w:numPr>
        <w:jc w:val="both"/>
        <w:rPr>
          <w:lang w:val="fr-FR"/>
        </w:rPr>
      </w:pPr>
      <w:r>
        <w:rPr>
          <w:lang w:val="fr-FR"/>
        </w:rPr>
        <w:t>Signature le 13 mai d’un bon de commande pour la construction d’un parc photovoltaïque avec un exploitant français pour un montant total de 3 000 000 euros. La livraison du parc interviendra le 13 juillet (le transfert de propriété et des risques interviendraient également à cette date). Un acompte de 1 000 000 euros a été versé à la commande (</w:t>
      </w:r>
      <w:r>
        <w:rPr>
          <w:b/>
          <w:lang w:val="fr-FR"/>
        </w:rPr>
        <w:t>1 point</w:t>
      </w:r>
      <w:r>
        <w:rPr>
          <w:lang w:val="fr-FR"/>
        </w:rPr>
        <w:t>) ;</w:t>
      </w:r>
    </w:p>
    <w:p>
      <w:pPr>
        <w:pStyle w:val="ListParagraph"/>
        <w:numPr>
          <w:ilvl w:val="0"/>
          <w:numId w:val="28"/>
        </w:numPr>
        <w:jc w:val="both"/>
        <w:rPr>
          <w:lang w:val="fr-FR"/>
        </w:rPr>
      </w:pPr>
      <w:r>
        <w:rPr>
          <w:lang w:val="fr-FR"/>
        </w:rPr>
        <w:t>Global Ecopower a facturé à l’un de ses clients des prestations d’études et d’assistance dans le cadre de l’obtention d’un permis de construire pour la construction d’un nouveau parc photovoltaïque en région Nouvelle-Aquitaine pour un montant de  300 000 euros le 18 mai (</w:t>
      </w:r>
      <w:r>
        <w:rPr>
          <w:b/>
          <w:lang w:val="fr-FR"/>
        </w:rPr>
        <w:t>1 point</w:t>
      </w:r>
      <w:r>
        <w:rPr>
          <w:lang w:val="fr-FR"/>
        </w:rPr>
        <w:t>) ;</w:t>
      </w:r>
    </w:p>
    <w:p>
      <w:pPr>
        <w:pStyle w:val="ListParagraph"/>
        <w:numPr>
          <w:ilvl w:val="0"/>
          <w:numId w:val="28"/>
        </w:numPr>
        <w:jc w:val="both"/>
        <w:rPr>
          <w:lang w:val="fr-FR"/>
        </w:rPr>
      </w:pPr>
      <w:r>
        <w:rPr>
          <w:lang w:val="fr-FR"/>
        </w:rPr>
        <w:t>Importation depuis la Turquie de cellules photovoltaïques destinées à être assemblées pour une valeur de 6 000 000 euros. (</w:t>
      </w:r>
      <w:r>
        <w:rPr>
          <w:b/>
          <w:lang w:val="fr-FR"/>
        </w:rPr>
        <w:t>1 point</w:t>
      </w:r>
      <w:r>
        <w:rPr>
          <w:lang w:val="fr-FR"/>
        </w:rPr>
        <w:t>) ;</w:t>
      </w:r>
    </w:p>
    <w:p>
      <w:pPr>
        <w:pStyle w:val="ListParagraph"/>
        <w:numPr>
          <w:ilvl w:val="0"/>
          <w:numId w:val="28"/>
        </w:numPr>
        <w:jc w:val="both"/>
        <w:rPr>
          <w:lang w:val="fr-FR"/>
        </w:rPr>
      </w:pPr>
      <w:r>
        <w:rPr>
          <w:lang w:val="fr-FR"/>
        </w:rPr>
        <w:t>Perception d’une redevance de concession de marque en provenance d’un assujetti établi en Italie, pour 15 000 eu</w:t>
      </w:r>
      <w:bookmarkStart w:id="0" w:name="_GoBack"/>
      <w:bookmarkEnd w:id="0"/>
      <w:r>
        <w:rPr>
          <w:lang w:val="fr-FR"/>
        </w:rPr>
        <w:t>ros (</w:t>
      </w:r>
      <w:r>
        <w:rPr>
          <w:b/>
          <w:lang w:val="fr-FR"/>
        </w:rPr>
        <w:t>1 point</w:t>
      </w:r>
      <w:r>
        <w:rPr>
          <w:lang w:val="fr-FR"/>
        </w:rPr>
        <w:t>) ;</w:t>
      </w:r>
    </w:p>
    <w:p>
      <w:pPr>
        <w:jc w:val="both"/>
        <w:rPr>
          <w:b/>
        </w:rPr>
      </w:pPr>
    </w:p>
    <w:p>
      <w:pPr>
        <w:jc w:val="both"/>
        <w:rPr>
          <w:lang w:val="fr-FR"/>
        </w:rPr>
      </w:pPr>
      <w:r>
        <w:rPr>
          <w:lang w:val="fr-FR"/>
        </w:rPr>
        <w:t>Calculez, en explicitant vos raisonnements, le montant de TVA française exigible, déductible et (le cas échéant) payée en douane par l’entreprise au titre du mois de mai 2021 (</w:t>
      </w:r>
      <w:r>
        <w:rPr>
          <w:b/>
          <w:lang w:val="fr-FR"/>
        </w:rPr>
        <w:t>1 point</w:t>
      </w:r>
      <w:r>
        <w:rPr>
          <w:lang w:val="fr-FR"/>
        </w:rPr>
        <w:t>).</w:t>
      </w:r>
    </w:p>
    <w:sectPr>
      <w:pgSz w:w="11909" w:h="16834" w:code="9"/>
      <w:pgMar w:top="1440" w:right="1440" w:bottom="1440" w:left="1440" w:header="720" w:footer="6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8E8FF0"/>
    <w:lvl w:ilvl="0">
      <w:start w:val="1"/>
      <w:numFmt w:val="decimal"/>
      <w:lvlText w:val="%1."/>
      <w:lvlJc w:val="left"/>
      <w:pPr>
        <w:tabs>
          <w:tab w:val="num" w:pos="3600"/>
        </w:tabs>
        <w:ind w:left="3600" w:hanging="720"/>
      </w:pPr>
      <w:rPr>
        <w:rFonts w:hint="default"/>
      </w:rPr>
    </w:lvl>
  </w:abstractNum>
  <w:abstractNum w:abstractNumId="1" w15:restartNumberingAfterBreak="0">
    <w:nsid w:val="FFFFFF7D"/>
    <w:multiLevelType w:val="singleLevel"/>
    <w:tmpl w:val="5478F95A"/>
    <w:lvl w:ilvl="0">
      <w:start w:val="1"/>
      <w:numFmt w:val="decimal"/>
      <w:lvlText w:val="%1."/>
      <w:lvlJc w:val="left"/>
      <w:pPr>
        <w:tabs>
          <w:tab w:val="num" w:pos="2880"/>
        </w:tabs>
        <w:ind w:left="2880" w:hanging="720"/>
      </w:pPr>
      <w:rPr>
        <w:rFonts w:hint="default"/>
      </w:rPr>
    </w:lvl>
  </w:abstractNum>
  <w:abstractNum w:abstractNumId="2" w15:restartNumberingAfterBreak="0">
    <w:nsid w:val="FFFFFF7E"/>
    <w:multiLevelType w:val="singleLevel"/>
    <w:tmpl w:val="067C3F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E3CF36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7BD06764"/>
    <w:lvl w:ilvl="0">
      <w:start w:val="1"/>
      <w:numFmt w:val="bullet"/>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A6DE3D36"/>
    <w:lvl w:ilvl="0">
      <w:start w:val="1"/>
      <w:numFmt w:val="bullet"/>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2810382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D1EABA30"/>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EDA69CA"/>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7F81AF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9B5C8B"/>
    <w:multiLevelType w:val="multilevel"/>
    <w:tmpl w:val="2FEE3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902F1F"/>
    <w:multiLevelType w:val="hybridMultilevel"/>
    <w:tmpl w:val="A8B48A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0E694B"/>
    <w:multiLevelType w:val="hybridMultilevel"/>
    <w:tmpl w:val="788C0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A97E7A"/>
    <w:multiLevelType w:val="hybridMultilevel"/>
    <w:tmpl w:val="A62C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12AA"/>
    <w:multiLevelType w:val="hybridMultilevel"/>
    <w:tmpl w:val="A8B48A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872ACC"/>
    <w:multiLevelType w:val="hybridMultilevel"/>
    <w:tmpl w:val="2CB22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DD5AE4"/>
    <w:multiLevelType w:val="hybridMultilevel"/>
    <w:tmpl w:val="35BA70DC"/>
    <w:lvl w:ilvl="0" w:tplc="2D9C1B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2"/>
  </w:num>
  <w:num w:numId="27">
    <w:abstractNumId w:val="1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1EE074C-6252-453A-8EB6-85EEE7BF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spacing w:after="240"/>
      <w:outlineLvl w:val="0"/>
    </w:pPr>
    <w:rPr>
      <w:b/>
    </w:rPr>
  </w:style>
  <w:style w:type="paragraph" w:styleId="Heading2">
    <w:name w:val="heading 2"/>
    <w:basedOn w:val="Normal"/>
    <w:next w:val="BodyText"/>
    <w:qFormat/>
    <w:pPr>
      <w:keepNext/>
      <w:spacing w:after="240"/>
      <w:outlineLvl w:val="1"/>
    </w:pPr>
  </w:style>
  <w:style w:type="paragraph" w:styleId="Heading3">
    <w:name w:val="heading 3"/>
    <w:basedOn w:val="Normal"/>
    <w:next w:val="Normal"/>
    <w:qFormat/>
    <w:pPr>
      <w:spacing w:after="240"/>
      <w:outlineLvl w:val="2"/>
    </w:pPr>
  </w:style>
  <w:style w:type="paragraph" w:styleId="Heading4">
    <w:name w:val="heading 4"/>
    <w:basedOn w:val="Normal"/>
    <w:next w:val="Normal"/>
    <w:semiHidden/>
    <w:unhideWhenUsed/>
    <w:qFormat/>
    <w:pPr>
      <w:spacing w:after="240"/>
      <w:outlineLvl w:val="3"/>
    </w:pPr>
  </w:style>
  <w:style w:type="paragraph" w:styleId="Heading5">
    <w:name w:val="heading 5"/>
    <w:basedOn w:val="Normal"/>
    <w:next w:val="Normal"/>
    <w:semiHidden/>
    <w:unhideWhenUsed/>
    <w:qFormat/>
    <w:pPr>
      <w:spacing w:after="240"/>
      <w:outlineLvl w:val="4"/>
    </w:pPr>
  </w:style>
  <w:style w:type="paragraph" w:styleId="Heading6">
    <w:name w:val="heading 6"/>
    <w:basedOn w:val="Normal"/>
    <w:next w:val="Normal"/>
    <w:semiHidden/>
    <w:unhideWhenUsed/>
    <w:qFormat/>
    <w:pPr>
      <w:spacing w:after="240"/>
      <w:outlineLvl w:val="5"/>
    </w:pPr>
  </w:style>
  <w:style w:type="paragraph" w:styleId="Heading7">
    <w:name w:val="heading 7"/>
    <w:basedOn w:val="Normal"/>
    <w:next w:val="Normal"/>
    <w:semiHidden/>
    <w:unhideWhenUsed/>
    <w:qFormat/>
    <w:pPr>
      <w:spacing w:after="240"/>
      <w:outlineLvl w:val="6"/>
    </w:pPr>
  </w:style>
  <w:style w:type="paragraph" w:styleId="Heading8">
    <w:name w:val="heading 8"/>
    <w:basedOn w:val="Normal"/>
    <w:next w:val="Normal"/>
    <w:semiHidden/>
    <w:unhideWhenUsed/>
    <w:qFormat/>
    <w:pPr>
      <w:spacing w:after="240"/>
      <w:outlineLvl w:val="7"/>
    </w:pPr>
  </w:style>
  <w:style w:type="paragraph" w:styleId="Heading9">
    <w:name w:val="heading 9"/>
    <w:basedOn w:val="Normal"/>
    <w:next w:val="Normal"/>
    <w:semiHidden/>
    <w:unhideWhenUsed/>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tyle>
  <w:style w:type="numbering" w:styleId="1ai">
    <w:name w:val="Outline List 1"/>
    <w:basedOn w:val="NoList"/>
  </w:style>
  <w:style w:type="numbering" w:styleId="ArticleSection">
    <w:name w:val="Outline List 3"/>
    <w:basedOn w:val="NoList"/>
  </w:style>
  <w:style w:type="paragraph" w:styleId="BlockText">
    <w:name w:val="Block Text"/>
    <w:basedOn w:val="Normal"/>
    <w:pPr>
      <w:spacing w:after="240"/>
      <w:ind w:left="1440" w:right="1440"/>
    </w:pPr>
  </w:style>
  <w:style w:type="paragraph" w:styleId="BodyText2">
    <w:name w:val="Body Text 2"/>
    <w:basedOn w:val="Normal"/>
    <w:pPr>
      <w:spacing w:after="240"/>
    </w:pPr>
  </w:style>
  <w:style w:type="paragraph" w:styleId="BodyText3">
    <w:name w:val="Body Text 3"/>
    <w:basedOn w:val="Normal"/>
    <w:semiHidden/>
    <w:unhideWhenUsed/>
    <w:pPr>
      <w:spacing w:after="240"/>
      <w:ind w:left="720" w:firstLine="720"/>
    </w:pPr>
  </w:style>
  <w:style w:type="paragraph" w:styleId="BodyTextIndent">
    <w:name w:val="Body Text Indent"/>
    <w:basedOn w:val="Normal"/>
    <w:pPr>
      <w:spacing w:after="240"/>
      <w:ind w:left="720"/>
    </w:pPr>
  </w:style>
  <w:style w:type="paragraph" w:styleId="BodyTextFirstIndent2">
    <w:name w:val="Body Text First Indent 2"/>
    <w:basedOn w:val="Normal"/>
    <w:semiHidden/>
    <w:unhideWhenUsed/>
    <w:pPr>
      <w:spacing w:after="240"/>
      <w:ind w:firstLine="720"/>
    </w:pPr>
  </w:style>
  <w:style w:type="paragraph" w:styleId="BodyText">
    <w:name w:val="Body Text"/>
    <w:basedOn w:val="Normal"/>
    <w:pPr>
      <w:spacing w:after="240"/>
      <w:ind w:firstLine="1440"/>
    </w:pPr>
  </w:style>
  <w:style w:type="paragraph" w:styleId="BodyTextFirstIndent">
    <w:name w:val="Body Text First Indent"/>
    <w:basedOn w:val="Normal"/>
    <w:pPr>
      <w:spacing w:after="240"/>
      <w:ind w:firstLine="720"/>
    </w:pPr>
  </w:style>
  <w:style w:type="paragraph" w:styleId="BodyTextIndent2">
    <w:name w:val="Body Text Indent 2"/>
    <w:basedOn w:val="Normal"/>
    <w:semiHidden/>
    <w:unhideWhenUsed/>
    <w:pPr>
      <w:spacing w:after="240"/>
      <w:ind w:left="720"/>
    </w:pPr>
  </w:style>
  <w:style w:type="paragraph" w:styleId="BodyTextIndent3">
    <w:name w:val="Body Text Indent 3"/>
    <w:basedOn w:val="Normal"/>
    <w:semiHidden/>
    <w:unhideWhenUsed/>
    <w:pPr>
      <w:spacing w:after="240"/>
      <w:ind w:left="720"/>
    </w:pPr>
  </w:style>
  <w:style w:type="paragraph" w:styleId="Caption">
    <w:name w:val="caption"/>
    <w:basedOn w:val="Normal"/>
    <w:next w:val="Normal"/>
    <w:semiHidden/>
    <w:qFormat/>
    <w:pPr>
      <w:spacing w:before="120" w:after="120"/>
    </w:pPr>
    <w:rPr>
      <w:sz w:val="20"/>
    </w:rPr>
  </w:style>
  <w:style w:type="paragraph" w:customStyle="1" w:styleId="CaptionText">
    <w:name w:val="Caption Text"/>
    <w:basedOn w:val="Normal"/>
    <w:semiHidden/>
    <w:pPr>
      <w:spacing w:after="240"/>
    </w:pPr>
  </w:style>
  <w:style w:type="paragraph" w:customStyle="1" w:styleId="CaptionTitle">
    <w:name w:val="Caption Title"/>
    <w:basedOn w:val="Normal"/>
    <w:semiHidden/>
    <w:pPr>
      <w:keepNext/>
      <w:spacing w:after="240"/>
      <w:jc w:val="center"/>
    </w:pPr>
    <w:rPr>
      <w:b/>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emiHidden/>
    <w:rPr>
      <w:sz w:val="20"/>
    </w:rPr>
  </w:style>
  <w:style w:type="paragraph" w:styleId="DocumentMap">
    <w:name w:val="Document Map"/>
    <w:basedOn w:val="Normal"/>
    <w:semiHidden/>
    <w:pPr>
      <w:shd w:val="clear" w:color="auto" w:fill="000080"/>
      <w:jc w:val="both"/>
    </w:pPr>
    <w:rPr>
      <w:rFonts w:ascii="Tahoma" w:hAnsi="Tahoma"/>
      <w:sz w:val="20"/>
    </w:rPr>
  </w:style>
  <w:style w:type="paragraph" w:customStyle="1" w:styleId="Draft">
    <w:name w:val="Draft"/>
    <w:basedOn w:val="Normal"/>
    <w:semiHidden/>
    <w:pPr>
      <w:jc w:val="right"/>
    </w:pPr>
  </w:style>
  <w:style w:type="paragraph" w:styleId="E-mailSignature">
    <w:name w:val="E-mail Signature"/>
    <w:basedOn w:val="Normal"/>
    <w:semiHidden/>
  </w:style>
  <w:style w:type="character" w:styleId="Emphasis">
    <w:name w:val="Emphasis"/>
    <w:basedOn w:val="DefaultParagraphFont"/>
    <w:semiHidden/>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pPr>
      <w:spacing w:after="240"/>
      <w:ind w:left="720" w:hanging="720"/>
    </w:pPr>
  </w:style>
  <w:style w:type="paragraph" w:styleId="Header">
    <w:name w:val="header"/>
    <w:basedOn w:val="Normal"/>
    <w:semiHidden/>
    <w:unhideWhenUsed/>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semiHidden/>
    <w:pPr>
      <w:spacing w:after="240"/>
      <w:ind w:left="720" w:hanging="720"/>
    </w:pPr>
  </w:style>
  <w:style w:type="paragraph" w:styleId="Index2">
    <w:name w:val="index 2"/>
    <w:basedOn w:val="Normal"/>
    <w:semiHidden/>
    <w:pPr>
      <w:spacing w:after="240"/>
      <w:ind w:left="1440" w:hanging="720"/>
    </w:pPr>
  </w:style>
  <w:style w:type="paragraph" w:styleId="Index3">
    <w:name w:val="index 3"/>
    <w:basedOn w:val="Normal"/>
    <w:semiHidden/>
    <w:pPr>
      <w:spacing w:after="240"/>
      <w:ind w:left="2160" w:hanging="720"/>
    </w:pPr>
  </w:style>
  <w:style w:type="paragraph" w:styleId="Index4">
    <w:name w:val="index 4"/>
    <w:basedOn w:val="Normal"/>
    <w:semiHidden/>
    <w:pPr>
      <w:spacing w:after="240"/>
      <w:ind w:left="2880" w:hanging="720"/>
    </w:pPr>
  </w:style>
  <w:style w:type="paragraph" w:styleId="Index5">
    <w:name w:val="index 5"/>
    <w:basedOn w:val="Normal"/>
    <w:semiHidden/>
    <w:pPr>
      <w:spacing w:after="240"/>
      <w:ind w:left="3600" w:hanging="720"/>
    </w:pPr>
  </w:style>
  <w:style w:type="paragraph" w:styleId="Index6">
    <w:name w:val="index 6"/>
    <w:basedOn w:val="Normal"/>
    <w:semiHidden/>
    <w:pPr>
      <w:spacing w:after="240"/>
      <w:ind w:left="3600" w:hanging="720"/>
    </w:pPr>
  </w:style>
  <w:style w:type="paragraph" w:styleId="Index7">
    <w:name w:val="index 7"/>
    <w:basedOn w:val="Normal"/>
    <w:semiHidden/>
    <w:pPr>
      <w:spacing w:after="240"/>
      <w:ind w:left="4320" w:hanging="720"/>
    </w:pPr>
  </w:style>
  <w:style w:type="paragraph" w:styleId="Index8">
    <w:name w:val="index 8"/>
    <w:basedOn w:val="Normal"/>
    <w:semiHidden/>
    <w:pPr>
      <w:spacing w:after="240"/>
      <w:ind w:left="5040" w:hanging="720"/>
    </w:pPr>
  </w:style>
  <w:style w:type="paragraph" w:styleId="Index9">
    <w:name w:val="index 9"/>
    <w:basedOn w:val="Normal"/>
    <w:semiHidden/>
    <w:pPr>
      <w:spacing w:after="240"/>
      <w:ind w:left="5760" w:hanging="720"/>
    </w:pPr>
  </w:style>
  <w:style w:type="paragraph" w:styleId="IndexHeading">
    <w:name w:val="index heading"/>
    <w:basedOn w:val="Normal"/>
    <w:next w:val="Index1"/>
    <w:semiHidden/>
    <w:unhideWhenUsed/>
    <w:pPr>
      <w:spacing w:after="240"/>
    </w:pPr>
  </w:style>
  <w:style w:type="character" w:styleId="LineNumber">
    <w:name w:val="line number"/>
    <w:basedOn w:val="DefaultParagraphFont"/>
    <w:semiHidden/>
  </w:style>
  <w:style w:type="paragraph" w:styleId="List">
    <w:name w:val="List"/>
    <w:basedOn w:val="Normal"/>
    <w:semiHidden/>
    <w:pPr>
      <w:spacing w:after="240"/>
      <w:ind w:left="720" w:hanging="720"/>
    </w:pPr>
  </w:style>
  <w:style w:type="paragraph" w:styleId="List2">
    <w:name w:val="List 2"/>
    <w:basedOn w:val="Normal"/>
    <w:semiHidden/>
    <w:pPr>
      <w:spacing w:after="240"/>
      <w:ind w:left="1440" w:hanging="720"/>
    </w:pPr>
  </w:style>
  <w:style w:type="paragraph" w:styleId="List3">
    <w:name w:val="List 3"/>
    <w:basedOn w:val="Normal"/>
    <w:semiHidden/>
    <w:pPr>
      <w:spacing w:after="240"/>
      <w:ind w:left="2160" w:hanging="720"/>
    </w:pPr>
  </w:style>
  <w:style w:type="paragraph" w:styleId="List4">
    <w:name w:val="List 4"/>
    <w:basedOn w:val="Normal"/>
    <w:semiHidden/>
    <w:pPr>
      <w:spacing w:after="240"/>
      <w:ind w:left="2880" w:hanging="720"/>
    </w:pPr>
  </w:style>
  <w:style w:type="paragraph" w:styleId="List5">
    <w:name w:val="List 5"/>
    <w:basedOn w:val="Normal"/>
    <w:semiHidden/>
    <w:pPr>
      <w:spacing w:after="240"/>
      <w:ind w:left="3600" w:hanging="720"/>
    </w:pPr>
  </w:style>
  <w:style w:type="paragraph" w:styleId="ListBullet2">
    <w:name w:val="List Bullet 2"/>
    <w:basedOn w:val="Normal"/>
    <w:qFormat/>
    <w:pPr>
      <w:numPr>
        <w:numId w:val="15"/>
      </w:numPr>
      <w:spacing w:after="240"/>
    </w:pPr>
  </w:style>
  <w:style w:type="paragraph" w:styleId="ListBullet3">
    <w:name w:val="List Bullet 3"/>
    <w:basedOn w:val="Normal"/>
    <w:pPr>
      <w:numPr>
        <w:numId w:val="16"/>
      </w:numPr>
      <w:spacing w:after="240"/>
    </w:pPr>
  </w:style>
  <w:style w:type="paragraph" w:styleId="ListBullet">
    <w:name w:val="List Bullet"/>
    <w:basedOn w:val="Normal"/>
    <w:qFormat/>
    <w:pPr>
      <w:numPr>
        <w:numId w:val="14"/>
      </w:numPr>
      <w:spacing w:after="24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left="2880"/>
    </w:pPr>
  </w:style>
  <w:style w:type="paragraph" w:styleId="ListContinue5">
    <w:name w:val="List Continue 5"/>
    <w:basedOn w:val="Normal"/>
    <w:semiHidden/>
    <w:pPr>
      <w:spacing w:after="240"/>
      <w:ind w:left="3600"/>
    </w:pPr>
  </w:style>
  <w:style w:type="paragraph" w:styleId="ListContinue">
    <w:name w:val="List Continue"/>
    <w:basedOn w:val="Normal"/>
    <w:semiHidden/>
    <w:pPr>
      <w:spacing w:after="240"/>
      <w:ind w:left="720"/>
    </w:pPr>
  </w:style>
  <w:style w:type="paragraph" w:styleId="ListNumber2">
    <w:name w:val="List Number 2"/>
    <w:basedOn w:val="Normal"/>
    <w:qFormat/>
    <w:pPr>
      <w:numPr>
        <w:numId w:val="20"/>
      </w:numPr>
      <w:spacing w:after="240"/>
    </w:pPr>
  </w:style>
  <w:style w:type="paragraph" w:styleId="ListNumber3">
    <w:name w:val="List Number 3"/>
    <w:basedOn w:val="Normal"/>
    <w:pPr>
      <w:numPr>
        <w:numId w:val="21"/>
      </w:numPr>
      <w:spacing w:after="240"/>
    </w:pPr>
  </w:style>
  <w:style w:type="paragraph" w:styleId="ListNumber">
    <w:name w:val="List Number"/>
    <w:basedOn w:val="Normal"/>
    <w:qFormat/>
    <w:pPr>
      <w:numPr>
        <w:numId w:val="19"/>
      </w:numPr>
      <w:spacing w:after="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sz w:val="20"/>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unhideWhenUsed/>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customStyle="1" w:styleId="SecondHeading1">
    <w:name w:val="Second Heading 1"/>
    <w:basedOn w:val="Normal"/>
    <w:pPr>
      <w:keepNext/>
      <w:spacing w:after="240"/>
      <w:outlineLvl w:val="0"/>
    </w:pPr>
  </w:style>
  <w:style w:type="paragraph" w:customStyle="1" w:styleId="SecondHeading2">
    <w:name w:val="Second Heading 2"/>
    <w:basedOn w:val="Normal"/>
    <w:pPr>
      <w:spacing w:after="240"/>
      <w:outlineLvl w:val="1"/>
    </w:pPr>
  </w:style>
  <w:style w:type="paragraph" w:customStyle="1" w:styleId="SecondHeading3">
    <w:name w:val="Second Heading 3"/>
    <w:basedOn w:val="Normal"/>
    <w:pPr>
      <w:spacing w:after="240"/>
      <w:outlineLvl w:val="2"/>
    </w:pPr>
  </w:style>
  <w:style w:type="paragraph" w:customStyle="1" w:styleId="SecondHeading4">
    <w:name w:val="Second Heading 4"/>
    <w:basedOn w:val="Normal"/>
    <w:semiHidden/>
    <w:unhideWhenUsed/>
    <w:pPr>
      <w:spacing w:after="240"/>
      <w:outlineLvl w:val="3"/>
    </w:pPr>
  </w:style>
  <w:style w:type="paragraph" w:customStyle="1" w:styleId="SecondHeading5">
    <w:name w:val="Second Heading 5"/>
    <w:basedOn w:val="Normal"/>
    <w:semiHidden/>
    <w:unhideWhenUsed/>
    <w:pPr>
      <w:spacing w:after="240"/>
      <w:outlineLvl w:val="4"/>
    </w:pPr>
  </w:style>
  <w:style w:type="paragraph" w:customStyle="1" w:styleId="SecondHeading6">
    <w:name w:val="Second Heading 6"/>
    <w:basedOn w:val="Normal"/>
    <w:semiHidden/>
    <w:unhideWhenUsed/>
    <w:pPr>
      <w:spacing w:after="240"/>
      <w:outlineLvl w:val="5"/>
    </w:pPr>
  </w:style>
  <w:style w:type="paragraph" w:customStyle="1" w:styleId="SecondHeading7">
    <w:name w:val="Second Heading 7"/>
    <w:basedOn w:val="Normal"/>
    <w:semiHidden/>
    <w:unhideWhenUsed/>
    <w:pPr>
      <w:spacing w:after="240"/>
      <w:outlineLvl w:val="6"/>
    </w:pPr>
  </w:style>
  <w:style w:type="paragraph" w:customStyle="1" w:styleId="SecondHeading8">
    <w:name w:val="Second Heading 8"/>
    <w:basedOn w:val="Normal"/>
    <w:semiHidden/>
    <w:unhideWhenUsed/>
    <w:pPr>
      <w:spacing w:after="240"/>
      <w:outlineLvl w:val="7"/>
    </w:pPr>
  </w:style>
  <w:style w:type="paragraph" w:customStyle="1" w:styleId="SecondHeading9">
    <w:name w:val="Second Heading 9"/>
    <w:basedOn w:val="Normal"/>
    <w:semiHidden/>
    <w:unhideWhenUsed/>
    <w:pPr>
      <w:spacing w:after="240"/>
      <w:outlineLvl w:val="8"/>
    </w:pPr>
  </w:style>
  <w:style w:type="paragraph" w:styleId="Signature">
    <w:name w:val="Signature"/>
    <w:basedOn w:val="Normal"/>
    <w:pPr>
      <w:ind w:left="4320"/>
    </w:pPr>
  </w:style>
  <w:style w:type="character" w:styleId="Strong">
    <w:name w:val="Strong"/>
    <w:basedOn w:val="DefaultParagraphFont"/>
    <w:semiHidden/>
    <w:qFormat/>
    <w:rPr>
      <w:b/>
    </w:rPr>
  </w:style>
  <w:style w:type="paragraph" w:styleId="Subtitle">
    <w:name w:val="Subtitle"/>
    <w:basedOn w:val="Normal"/>
    <w:next w:val="BodyText"/>
    <w:qFormat/>
    <w:pPr>
      <w:keepNext/>
      <w:spacing w:after="240"/>
      <w:jc w:val="center"/>
    </w:pPr>
    <w:rPr>
      <w:b/>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ind w:left="240" w:hanging="240"/>
    </w:pPr>
  </w:style>
  <w:style w:type="paragraph" w:styleId="TableofFigures">
    <w:name w:val="table of figures"/>
    <w:basedOn w:val="Normal"/>
    <w:next w:val="Normal"/>
    <w:semiHidden/>
    <w:unhideWhenUsed/>
    <w:pPr>
      <w:ind w:left="480" w:hanging="480"/>
    </w:p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unhideWhenUsed/>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keepNext/>
      <w:spacing w:after="240"/>
      <w:jc w:val="center"/>
    </w:pPr>
    <w:rPr>
      <w:b/>
      <w:caps/>
    </w:rPr>
  </w:style>
  <w:style w:type="paragraph" w:styleId="TOAHeading">
    <w:name w:val="toa heading"/>
    <w:basedOn w:val="Normal"/>
    <w:next w:val="Normal"/>
    <w:semiHidden/>
    <w:unhideWhenUsed/>
    <w:pPr>
      <w:spacing w:after="240"/>
    </w:pPr>
    <w:rPr>
      <w:b/>
    </w:rPr>
  </w:style>
  <w:style w:type="paragraph" w:styleId="TOC1">
    <w:name w:val="toc 1"/>
    <w:basedOn w:val="Normal"/>
    <w:next w:val="Normal"/>
    <w:autoRedefine/>
    <w:semiHidden/>
    <w:unhideWhenUsed/>
    <w:pPr>
      <w:tabs>
        <w:tab w:val="left" w:pos="2160"/>
      </w:tabs>
    </w:pPr>
  </w:style>
  <w:style w:type="paragraph" w:styleId="TOC2">
    <w:name w:val="toc 2"/>
    <w:basedOn w:val="Normal"/>
    <w:next w:val="Normal"/>
    <w:autoRedefine/>
    <w:semiHidden/>
    <w:unhideWhenUsed/>
    <w:pPr>
      <w:tabs>
        <w:tab w:val="left" w:pos="2160"/>
      </w:tabs>
      <w:ind w:left="720"/>
    </w:pPr>
    <w:rPr>
      <w:color w:val="000000"/>
    </w:rPr>
  </w:style>
  <w:style w:type="paragraph" w:styleId="TOC3">
    <w:name w:val="toc 3"/>
    <w:basedOn w:val="Normal"/>
    <w:next w:val="Normal"/>
    <w:autoRedefine/>
    <w:semiHidden/>
    <w:unhideWhenUsed/>
    <w:pPr>
      <w:tabs>
        <w:tab w:val="left" w:pos="2160"/>
      </w:tabs>
      <w:ind w:left="1440"/>
    </w:pPr>
  </w:style>
  <w:style w:type="paragraph" w:styleId="TOC4">
    <w:name w:val="toc 4"/>
    <w:basedOn w:val="Normal"/>
    <w:next w:val="Normal"/>
    <w:autoRedefine/>
    <w:semiHidden/>
    <w:unhideWhenUsed/>
    <w:pPr>
      <w:ind w:left="2160"/>
    </w:pPr>
  </w:style>
  <w:style w:type="paragraph" w:styleId="TOC5">
    <w:name w:val="toc 5"/>
    <w:basedOn w:val="Normal"/>
    <w:next w:val="Normal"/>
    <w:autoRedefine/>
    <w:semiHidden/>
    <w:unhideWhenUsed/>
    <w:pPr>
      <w:ind w:left="2880"/>
    </w:pPr>
  </w:style>
  <w:style w:type="paragraph" w:styleId="TOC6">
    <w:name w:val="toc 6"/>
    <w:basedOn w:val="Normal"/>
    <w:next w:val="Normal"/>
    <w:autoRedefine/>
    <w:semiHidden/>
    <w:unhideWhenUsed/>
    <w:pPr>
      <w:ind w:left="3600"/>
    </w:pPr>
  </w:style>
  <w:style w:type="paragraph" w:styleId="TOC7">
    <w:name w:val="toc 7"/>
    <w:basedOn w:val="Normal"/>
    <w:next w:val="Normal"/>
    <w:autoRedefine/>
    <w:semiHidden/>
    <w:unhideWhenUsed/>
    <w:pPr>
      <w:ind w:left="4320"/>
    </w:pPr>
  </w:style>
  <w:style w:type="paragraph" w:styleId="TOC8">
    <w:name w:val="toc 8"/>
    <w:basedOn w:val="Normal"/>
    <w:next w:val="Normal"/>
    <w:autoRedefine/>
    <w:semiHidden/>
    <w:unhideWhenUsed/>
    <w:pPr>
      <w:ind w:left="5040"/>
    </w:pPr>
  </w:style>
  <w:style w:type="paragraph" w:styleId="TOC9">
    <w:name w:val="toc 9"/>
    <w:basedOn w:val="Normal"/>
    <w:next w:val="Normal"/>
    <w:autoRedefine/>
    <w:semiHidden/>
    <w:unhideWhenUsed/>
    <w:pPr>
      <w:ind w:left="5760"/>
    </w:pPr>
  </w:style>
  <w:style w:type="paragraph" w:customStyle="1" w:styleId="BlockTextJustified">
    <w:name w:val="Block Text Justified"/>
    <w:basedOn w:val="Normal"/>
    <w:pPr>
      <w:spacing w:after="240"/>
      <w:ind w:left="1440" w:right="1440"/>
      <w:jc w:val="both"/>
    </w:pPr>
  </w:style>
  <w:style w:type="paragraph" w:customStyle="1" w:styleId="BodyCenter">
    <w:name w:val="Body Center"/>
    <w:basedOn w:val="Normal"/>
    <w:pPr>
      <w:spacing w:after="240"/>
      <w:jc w:val="center"/>
    </w:pPr>
  </w:style>
  <w:style w:type="paragraph" w:customStyle="1" w:styleId="BodyRight">
    <w:name w:val="Body Right"/>
    <w:basedOn w:val="Normal"/>
    <w:pPr>
      <w:spacing w:after="240"/>
      <w:jc w:val="right"/>
    </w:pPr>
  </w:style>
  <w:style w:type="paragraph" w:customStyle="1" w:styleId="BodyTextJustified">
    <w:name w:val="Body Text Justified"/>
    <w:basedOn w:val="Normal"/>
    <w:pPr>
      <w:spacing w:after="240"/>
      <w:ind w:firstLine="1440"/>
      <w:jc w:val="both"/>
    </w:pPr>
  </w:style>
  <w:style w:type="paragraph" w:customStyle="1" w:styleId="Signature2">
    <w:name w:val="Signature 2"/>
    <w:basedOn w:val="Normal"/>
    <w:pPr>
      <w:spacing w:after="240"/>
      <w:ind w:left="5040"/>
    </w:pPr>
  </w:style>
  <w:style w:type="paragraph" w:customStyle="1" w:styleId="Subtitle2Left">
    <w:name w:val="Subtitle 2 Left"/>
    <w:basedOn w:val="Normal"/>
    <w:pPr>
      <w:keepNext/>
      <w:spacing w:after="240"/>
    </w:pPr>
    <w:rPr>
      <w:u w:val="single"/>
    </w:rPr>
  </w:style>
  <w:style w:type="paragraph" w:customStyle="1" w:styleId="TableHeading">
    <w:name w:val="Table Heading"/>
    <w:basedOn w:val="Normal"/>
    <w:pPr>
      <w:keepNext/>
      <w:pBdr>
        <w:bottom w:val="single" w:sz="4" w:space="1" w:color="auto"/>
      </w:pBdr>
      <w:jc w:val="center"/>
    </w:pPr>
    <w:rPr>
      <w:b/>
    </w:rPr>
  </w:style>
  <w:style w:type="paragraph" w:customStyle="1" w:styleId="TableTextIndent">
    <w:name w:val="Table Text Indent"/>
    <w:basedOn w:val="Normal"/>
    <w:pPr>
      <w:ind w:left="720" w:hanging="360"/>
    </w:pPr>
  </w:style>
  <w:style w:type="paragraph" w:customStyle="1" w:styleId="TITLE2">
    <w:name w:val="TITLE 2"/>
    <w:basedOn w:val="Normal"/>
    <w:semiHidden/>
    <w:unhideWhenUsed/>
    <w:pPr>
      <w:spacing w:after="240"/>
      <w:jc w:val="center"/>
    </w:pPr>
    <w:rPr>
      <w:caps/>
      <w:szCs w:val="24"/>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p;C">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E42A88978D34EB3E900AAB0A25D38" ma:contentTypeVersion="13" ma:contentTypeDescription="Crée un document." ma:contentTypeScope="" ma:versionID="eeccc74ec7fdb5fdd92f5021d6d042f8">
  <xsd:schema xmlns:xsd="http://www.w3.org/2001/XMLSchema" xmlns:xs="http://www.w3.org/2001/XMLSchema" xmlns:p="http://schemas.microsoft.com/office/2006/metadata/properties" xmlns:ns3="305bbe64-3d4c-4dcd-99ae-1ef0d902e648" xmlns:ns4="63e48cb6-e983-4660-8347-2a21d618e667" targetNamespace="http://schemas.microsoft.com/office/2006/metadata/properties" ma:root="true" ma:fieldsID="3cfedf3a4c1dde48f087ab575c5a4a63" ns3:_="" ns4:_="">
    <xsd:import namespace="305bbe64-3d4c-4dcd-99ae-1ef0d902e648"/>
    <xsd:import namespace="63e48cb6-e983-4660-8347-2a21d618e6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bbe64-3d4c-4dcd-99ae-1ef0d902e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48cb6-e983-4660-8347-2a21d618e66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A86EB-6790-4FC5-8D9F-2616A4324EC0}">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3e48cb6-e983-4660-8347-2a21d618e667"/>
    <ds:schemaRef ds:uri="305bbe64-3d4c-4dcd-99ae-1ef0d902e64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CF8DA27-6E09-4E16-95BF-6A983AD6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bbe64-3d4c-4dcd-99ae-1ef0d902e648"/>
    <ds:schemaRef ds:uri="63e48cb6-e983-4660-8347-2a21d618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A6303-3D59-406E-94AF-A6F02F3CD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Sullivan &amp; Cromwell LLP</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Jérôme</dc:creator>
  <cp:keywords/>
  <dc:description/>
  <cp:lastModifiedBy>Seichepine, Clémence</cp:lastModifiedBy>
  <cp:revision>2</cp:revision>
  <dcterms:created xsi:type="dcterms:W3CDTF">2021-05-03T07:30:00Z</dcterms:created>
  <dcterms:modified xsi:type="dcterms:W3CDTF">2021-05-03T07:30:00Z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0x010100185E42A88978D34EB3E900AAB0A25D38</vt:lpwstr>
  </property>
</Properties>
</file>