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CD65" w14:textId="77777777" w:rsidR="00944A74" w:rsidRDefault="00944A74" w:rsidP="00944A74">
      <w:pPr>
        <w:widowControl w:val="0"/>
        <w:autoSpaceDE w:val="0"/>
        <w:autoSpaceDN w:val="0"/>
        <w:adjustRightInd w:val="0"/>
        <w:rPr>
          <w:sz w:val="3"/>
          <w:szCs w:val="3"/>
        </w:rPr>
      </w:pPr>
      <w:bookmarkStart w:id="0" w:name="_GoBack"/>
      <w:bookmarkEnd w:id="0"/>
    </w:p>
    <w:p w14:paraId="70115E73"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14:paraId="65615BE9" w14:textId="77777777" w:rsidR="00944A74" w:rsidRDefault="00944A74" w:rsidP="00944A74">
      <w:pPr>
        <w:widowControl w:val="0"/>
        <w:autoSpaceDE w:val="0"/>
        <w:autoSpaceDN w:val="0"/>
        <w:adjustRightInd w:val="0"/>
        <w:rPr>
          <w:rFonts w:ascii="Arial" w:hAnsi="Arial" w:cs="Arial"/>
          <w:b/>
          <w:bCs/>
          <w:color w:val="000000"/>
          <w:sz w:val="20"/>
          <w:szCs w:val="20"/>
        </w:rPr>
      </w:pPr>
    </w:p>
    <w:p w14:paraId="630FD67B" w14:textId="77777777" w:rsidR="00944A74" w:rsidRDefault="00944A74" w:rsidP="00944A74">
      <w:pPr>
        <w:widowControl w:val="0"/>
        <w:autoSpaceDE w:val="0"/>
        <w:autoSpaceDN w:val="0"/>
        <w:adjustRightInd w:val="0"/>
        <w:rPr>
          <w:rFonts w:ascii="Arial" w:hAnsi="Arial" w:cs="Arial"/>
          <w:b/>
          <w:bCs/>
          <w:color w:val="000000"/>
          <w:sz w:val="8"/>
          <w:szCs w:val="8"/>
        </w:rPr>
      </w:pPr>
    </w:p>
    <w:p w14:paraId="71A4088B" w14:textId="77777777"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1D6788">
        <w:t>1115</w:t>
      </w:r>
    </w:p>
    <w:p w14:paraId="3CE8B0DC" w14:textId="77777777" w:rsidR="00944A74" w:rsidRDefault="00944A74" w:rsidP="00944A74">
      <w:pPr>
        <w:widowControl w:val="0"/>
        <w:autoSpaceDE w:val="0"/>
        <w:autoSpaceDN w:val="0"/>
        <w:adjustRightInd w:val="0"/>
        <w:rPr>
          <w:rFonts w:ascii="Arial" w:hAnsi="Arial" w:cs="Arial"/>
          <w:b/>
          <w:bCs/>
          <w:color w:val="000000"/>
          <w:sz w:val="20"/>
          <w:szCs w:val="20"/>
        </w:rPr>
      </w:pPr>
    </w:p>
    <w:p w14:paraId="45D5C535" w14:textId="77777777" w:rsidR="00944A74" w:rsidRDefault="00944A74" w:rsidP="00944A74">
      <w:pPr>
        <w:widowControl w:val="0"/>
        <w:autoSpaceDE w:val="0"/>
        <w:autoSpaceDN w:val="0"/>
        <w:adjustRightInd w:val="0"/>
        <w:rPr>
          <w:rFonts w:ascii="Arial" w:hAnsi="Arial" w:cs="Arial"/>
          <w:b/>
          <w:bCs/>
          <w:color w:val="000000"/>
          <w:sz w:val="15"/>
          <w:szCs w:val="15"/>
        </w:rPr>
      </w:pPr>
    </w:p>
    <w:p w14:paraId="34FB6190"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2ADAACF4" w14:textId="77777777" w:rsidR="00944A74" w:rsidRDefault="00944A74" w:rsidP="00944A74">
      <w:pPr>
        <w:widowControl w:val="0"/>
        <w:autoSpaceDE w:val="0"/>
        <w:autoSpaceDN w:val="0"/>
        <w:adjustRightInd w:val="0"/>
        <w:rPr>
          <w:rFonts w:ascii="Arial" w:hAnsi="Arial" w:cs="Arial"/>
          <w:color w:val="000000"/>
          <w:sz w:val="20"/>
          <w:szCs w:val="20"/>
        </w:rPr>
      </w:pPr>
    </w:p>
    <w:p w14:paraId="2229C5BD" w14:textId="77777777" w:rsidR="00944A74" w:rsidRDefault="00944A74" w:rsidP="00944A74">
      <w:pPr>
        <w:widowControl w:val="0"/>
        <w:autoSpaceDE w:val="0"/>
        <w:autoSpaceDN w:val="0"/>
        <w:adjustRightInd w:val="0"/>
        <w:rPr>
          <w:rFonts w:ascii="Arial" w:hAnsi="Arial" w:cs="Arial"/>
          <w:color w:val="000000"/>
          <w:sz w:val="20"/>
          <w:szCs w:val="20"/>
        </w:rPr>
      </w:pPr>
    </w:p>
    <w:p w14:paraId="3793A6DF" w14:textId="77777777" w:rsidR="00944A74" w:rsidRDefault="00944A74" w:rsidP="00944A74">
      <w:pPr>
        <w:widowControl w:val="0"/>
        <w:autoSpaceDE w:val="0"/>
        <w:autoSpaceDN w:val="0"/>
        <w:adjustRightInd w:val="0"/>
        <w:rPr>
          <w:rFonts w:ascii="Arial" w:hAnsi="Arial" w:cs="Arial"/>
          <w:color w:val="000000"/>
          <w:sz w:val="6"/>
          <w:szCs w:val="6"/>
        </w:rPr>
      </w:pPr>
    </w:p>
    <w:p w14:paraId="3675903B"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BB4C4E">
        <w:rPr>
          <w:rFonts w:ascii="Arial" w:hAnsi="Arial" w:cs="Arial"/>
          <w:color w:val="000000"/>
        </w:rPr>
        <w:t>Mai- Juin</w:t>
      </w:r>
      <w:r>
        <w:rPr>
          <w:rFonts w:ascii="Arial" w:hAnsi="Arial" w:cs="Arial"/>
          <w:color w:val="000000"/>
        </w:rPr>
        <w:t xml:space="preserve"> 2021</w:t>
      </w:r>
    </w:p>
    <w:p w14:paraId="572AEB64" w14:textId="77777777" w:rsidR="00944A74" w:rsidRDefault="00944A74" w:rsidP="00944A74">
      <w:pPr>
        <w:widowControl w:val="0"/>
        <w:autoSpaceDE w:val="0"/>
        <w:autoSpaceDN w:val="0"/>
        <w:adjustRightInd w:val="0"/>
        <w:rPr>
          <w:rFonts w:ascii="Arial" w:hAnsi="Arial" w:cs="Arial"/>
          <w:color w:val="000000"/>
          <w:sz w:val="20"/>
          <w:szCs w:val="20"/>
        </w:rPr>
      </w:pPr>
    </w:p>
    <w:p w14:paraId="249551DE" w14:textId="77777777" w:rsidR="00944A74" w:rsidRDefault="00944A74" w:rsidP="00944A74">
      <w:pPr>
        <w:widowControl w:val="0"/>
        <w:autoSpaceDE w:val="0"/>
        <w:autoSpaceDN w:val="0"/>
        <w:adjustRightInd w:val="0"/>
        <w:rPr>
          <w:rFonts w:ascii="Arial" w:hAnsi="Arial" w:cs="Arial"/>
          <w:color w:val="000000"/>
          <w:sz w:val="20"/>
          <w:szCs w:val="20"/>
        </w:rPr>
      </w:pPr>
    </w:p>
    <w:p w14:paraId="0F7272C4" w14:textId="77777777" w:rsidR="00944A74" w:rsidRDefault="00944A74" w:rsidP="00944A74">
      <w:pPr>
        <w:widowControl w:val="0"/>
        <w:autoSpaceDE w:val="0"/>
        <w:autoSpaceDN w:val="0"/>
        <w:adjustRightInd w:val="0"/>
        <w:rPr>
          <w:rFonts w:ascii="Arial" w:hAnsi="Arial" w:cs="Arial"/>
          <w:color w:val="000000"/>
          <w:sz w:val="10"/>
          <w:szCs w:val="10"/>
        </w:rPr>
      </w:pPr>
    </w:p>
    <w:p w14:paraId="34A976C3"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1D6788">
        <w:t>M1 Droit</w:t>
      </w:r>
    </w:p>
    <w:p w14:paraId="643DDB19" w14:textId="77777777" w:rsidR="00944A74" w:rsidRDefault="00944A74" w:rsidP="00944A74">
      <w:pPr>
        <w:widowControl w:val="0"/>
        <w:autoSpaceDE w:val="0"/>
        <w:autoSpaceDN w:val="0"/>
        <w:adjustRightInd w:val="0"/>
        <w:rPr>
          <w:rFonts w:ascii="Arial" w:hAnsi="Arial" w:cs="Arial"/>
          <w:color w:val="000000"/>
          <w:sz w:val="20"/>
          <w:szCs w:val="20"/>
        </w:rPr>
      </w:pPr>
    </w:p>
    <w:p w14:paraId="340B3A21" w14:textId="77777777" w:rsidR="00944A74" w:rsidRDefault="00944A74" w:rsidP="00944A74">
      <w:pPr>
        <w:widowControl w:val="0"/>
        <w:autoSpaceDE w:val="0"/>
        <w:autoSpaceDN w:val="0"/>
        <w:adjustRightInd w:val="0"/>
        <w:rPr>
          <w:rFonts w:ascii="Arial" w:hAnsi="Arial" w:cs="Arial"/>
          <w:color w:val="000000"/>
          <w:sz w:val="20"/>
          <w:szCs w:val="20"/>
        </w:rPr>
      </w:pPr>
    </w:p>
    <w:p w14:paraId="2DC1DAFB" w14:textId="77777777" w:rsidR="00944A74" w:rsidRDefault="00944A74" w:rsidP="00944A74">
      <w:pPr>
        <w:widowControl w:val="0"/>
        <w:autoSpaceDE w:val="0"/>
        <w:autoSpaceDN w:val="0"/>
        <w:adjustRightInd w:val="0"/>
        <w:rPr>
          <w:rFonts w:ascii="Arial" w:hAnsi="Arial" w:cs="Arial"/>
          <w:color w:val="000000"/>
          <w:sz w:val="12"/>
          <w:szCs w:val="12"/>
        </w:rPr>
      </w:pPr>
    </w:p>
    <w:p w14:paraId="00FAA49B" w14:textId="77777777"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1D6788">
        <w:t>Droit du commerce international</w:t>
      </w:r>
    </w:p>
    <w:p w14:paraId="2A89847C" w14:textId="77777777" w:rsidR="00944A74" w:rsidRDefault="00944A74" w:rsidP="00944A74">
      <w:pPr>
        <w:widowControl w:val="0"/>
        <w:autoSpaceDE w:val="0"/>
        <w:autoSpaceDN w:val="0"/>
        <w:adjustRightInd w:val="0"/>
        <w:rPr>
          <w:b/>
          <w:bCs/>
          <w:i/>
          <w:iCs/>
          <w:color w:val="000000"/>
          <w:sz w:val="8"/>
          <w:szCs w:val="8"/>
        </w:rPr>
      </w:pPr>
    </w:p>
    <w:p w14:paraId="78AC4909"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Pr="00AB6A7C">
        <w:rPr>
          <w:sz w:val="20"/>
          <w:szCs w:val="20"/>
        </w:rPr>
        <w:t xml:space="preserve"> 2)</w:t>
      </w:r>
    </w:p>
    <w:p w14:paraId="047AC842"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75615015" w14:textId="77777777" w:rsidR="00944A74" w:rsidRDefault="00944A74" w:rsidP="00944A74">
      <w:pPr>
        <w:widowControl w:val="0"/>
        <w:autoSpaceDE w:val="0"/>
        <w:autoSpaceDN w:val="0"/>
        <w:adjustRightInd w:val="0"/>
        <w:rPr>
          <w:rFonts w:ascii="Arial" w:hAnsi="Arial" w:cs="Arial"/>
          <w:color w:val="000000"/>
          <w:sz w:val="20"/>
          <w:szCs w:val="20"/>
        </w:rPr>
      </w:pPr>
    </w:p>
    <w:p w14:paraId="314A3A1A" w14:textId="77777777" w:rsidR="00944A74" w:rsidRDefault="00944A74" w:rsidP="00944A74">
      <w:pPr>
        <w:widowControl w:val="0"/>
        <w:autoSpaceDE w:val="0"/>
        <w:autoSpaceDN w:val="0"/>
        <w:adjustRightInd w:val="0"/>
        <w:rPr>
          <w:rFonts w:ascii="Arial" w:hAnsi="Arial" w:cs="Arial"/>
          <w:color w:val="000000"/>
          <w:sz w:val="15"/>
          <w:szCs w:val="15"/>
        </w:rPr>
      </w:pPr>
    </w:p>
    <w:p w14:paraId="07A3D6AF" w14:textId="77777777"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1D6788">
        <w:rPr>
          <w:rFonts w:ascii="Arial" w:hAnsi="Arial" w:cs="Arial"/>
          <w:b/>
          <w:bCs/>
          <w:color w:val="000000"/>
        </w:rPr>
        <w:t>Jean-Baptiste Racine</w:t>
      </w:r>
    </w:p>
    <w:p w14:paraId="336FA5E2" w14:textId="77777777" w:rsidR="00944A74" w:rsidRDefault="00944A74" w:rsidP="00944A74">
      <w:pPr>
        <w:widowControl w:val="0"/>
        <w:autoSpaceDE w:val="0"/>
        <w:autoSpaceDN w:val="0"/>
        <w:adjustRightInd w:val="0"/>
        <w:rPr>
          <w:rFonts w:ascii="Arial" w:hAnsi="Arial" w:cs="Arial"/>
          <w:b/>
          <w:bCs/>
          <w:color w:val="000000"/>
          <w:sz w:val="10"/>
          <w:szCs w:val="10"/>
        </w:rPr>
      </w:pPr>
    </w:p>
    <w:p w14:paraId="5D3B8C51"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5082E8A0" w14:textId="77777777" w:rsidR="00944A74" w:rsidRDefault="00944A74" w:rsidP="00944A74">
      <w:pPr>
        <w:widowControl w:val="0"/>
        <w:autoSpaceDE w:val="0"/>
        <w:autoSpaceDN w:val="0"/>
        <w:adjustRightInd w:val="0"/>
        <w:rPr>
          <w:rFonts w:ascii="Arial" w:hAnsi="Arial" w:cs="Arial"/>
          <w:color w:val="000000"/>
          <w:sz w:val="20"/>
          <w:szCs w:val="20"/>
        </w:rPr>
      </w:pPr>
    </w:p>
    <w:p w14:paraId="49231CDD" w14:textId="77777777"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1D6788">
        <w:rPr>
          <w:rFonts w:ascii="Arial" w:hAnsi="Arial" w:cs="Arial"/>
          <w:b/>
        </w:rPr>
        <w:t>2 heures</w:t>
      </w:r>
    </w:p>
    <w:p w14:paraId="631722D9" w14:textId="77777777" w:rsidR="00110FE2" w:rsidRDefault="00110FE2" w:rsidP="00944A74">
      <w:pPr>
        <w:widowControl w:val="0"/>
        <w:tabs>
          <w:tab w:val="left" w:pos="56"/>
        </w:tabs>
        <w:autoSpaceDE w:val="0"/>
        <w:autoSpaceDN w:val="0"/>
        <w:adjustRightInd w:val="0"/>
      </w:pPr>
    </w:p>
    <w:p w14:paraId="09A0D380" w14:textId="77777777" w:rsidR="00AE726E" w:rsidRDefault="00AE726E" w:rsidP="00944A74">
      <w:pPr>
        <w:widowControl w:val="0"/>
        <w:tabs>
          <w:tab w:val="left" w:pos="56"/>
        </w:tabs>
        <w:autoSpaceDE w:val="0"/>
        <w:autoSpaceDN w:val="0"/>
        <w:adjustRightInd w:val="0"/>
      </w:pPr>
    </w:p>
    <w:p w14:paraId="79DE81DB" w14:textId="77777777" w:rsidR="001D6788" w:rsidRDefault="001D6788" w:rsidP="00944A74">
      <w:pPr>
        <w:widowControl w:val="0"/>
        <w:tabs>
          <w:tab w:val="left" w:pos="56"/>
        </w:tabs>
        <w:autoSpaceDE w:val="0"/>
        <w:autoSpaceDN w:val="0"/>
        <w:adjustRightInd w:val="0"/>
      </w:pPr>
      <w:r>
        <w:t xml:space="preserve">Sujets : les étudiants traiteront au choix </w:t>
      </w:r>
      <w:r w:rsidRPr="00045C76">
        <w:rPr>
          <w:b/>
          <w:u w:val="single"/>
        </w:rPr>
        <w:t>l’un</w:t>
      </w:r>
      <w:r>
        <w:t xml:space="preserve"> des deux sujets suivants.</w:t>
      </w:r>
    </w:p>
    <w:p w14:paraId="68289CC7" w14:textId="77777777" w:rsidR="001D6788" w:rsidRDefault="001D6788" w:rsidP="00944A74">
      <w:pPr>
        <w:widowControl w:val="0"/>
        <w:tabs>
          <w:tab w:val="left" w:pos="56"/>
        </w:tabs>
        <w:autoSpaceDE w:val="0"/>
        <w:autoSpaceDN w:val="0"/>
        <w:adjustRightInd w:val="0"/>
      </w:pPr>
    </w:p>
    <w:p w14:paraId="79135F9F" w14:textId="77777777" w:rsidR="001D6788" w:rsidRPr="00045C76" w:rsidRDefault="001D6788" w:rsidP="00944A74">
      <w:pPr>
        <w:widowControl w:val="0"/>
        <w:tabs>
          <w:tab w:val="left" w:pos="56"/>
        </w:tabs>
        <w:autoSpaceDE w:val="0"/>
        <w:autoSpaceDN w:val="0"/>
        <w:adjustRightInd w:val="0"/>
        <w:rPr>
          <w:b/>
        </w:rPr>
      </w:pPr>
      <w:r w:rsidRPr="00045C76">
        <w:rPr>
          <w:b/>
        </w:rPr>
        <w:t>Sujet 1 : Cas pratique</w:t>
      </w:r>
    </w:p>
    <w:p w14:paraId="77485516" w14:textId="77777777" w:rsidR="001D6788" w:rsidRDefault="001D6788" w:rsidP="00FF1411">
      <w:pPr>
        <w:widowControl w:val="0"/>
        <w:tabs>
          <w:tab w:val="left" w:pos="56"/>
        </w:tabs>
        <w:autoSpaceDE w:val="0"/>
        <w:autoSpaceDN w:val="0"/>
        <w:adjustRightInd w:val="0"/>
        <w:jc w:val="both"/>
      </w:pPr>
    </w:p>
    <w:p w14:paraId="2CF536C9" w14:textId="77777777" w:rsidR="000029C5" w:rsidRPr="000029C5" w:rsidRDefault="00A00CAA" w:rsidP="00FF1411">
      <w:pPr>
        <w:widowControl w:val="0"/>
        <w:tabs>
          <w:tab w:val="left" w:pos="56"/>
        </w:tabs>
        <w:autoSpaceDE w:val="0"/>
        <w:autoSpaceDN w:val="0"/>
        <w:adjustRightInd w:val="0"/>
        <w:jc w:val="both"/>
      </w:pPr>
      <w:r>
        <w:t xml:space="preserve">La société Eurotrans </w:t>
      </w:r>
      <w:r w:rsidR="000029C5" w:rsidRPr="000029C5">
        <w:t>est spécialisée dans le transport routier</w:t>
      </w:r>
      <w:r>
        <w:t xml:space="preserve"> </w:t>
      </w:r>
      <w:r w:rsidR="000029C5" w:rsidRPr="000029C5">
        <w:t xml:space="preserve">international. Elle a été constituée </w:t>
      </w:r>
      <w:r>
        <w:t>conformément au droit bulgare en 2010 par deux frères, Symeon et Todor Dimitrov. Son siège est à Plovdiv (sachant que la Bulgarie a rejoint l’Union européenne en 2007).</w:t>
      </w:r>
      <w:r w:rsidR="00FF1411">
        <w:t xml:space="preserve"> </w:t>
      </w:r>
      <w:r w:rsidR="000029C5" w:rsidRPr="000029C5">
        <w:t>Cette société de transport, initialement spécialisée dans le transport régional, a</w:t>
      </w:r>
      <w:r>
        <w:t xml:space="preserve"> </w:t>
      </w:r>
      <w:r w:rsidR="000029C5" w:rsidRPr="000029C5">
        <w:t>peu à peu développé ses activités dans l’Europe entière. En effet, la société Eurotrans est</w:t>
      </w:r>
      <w:r>
        <w:t xml:space="preserve"> </w:t>
      </w:r>
      <w:r w:rsidR="000029C5" w:rsidRPr="000029C5">
        <w:t xml:space="preserve">particulièrement compétitive compte tenu du coût du travail en </w:t>
      </w:r>
      <w:r>
        <w:t>Bulgarie</w:t>
      </w:r>
      <w:r w:rsidR="000029C5" w:rsidRPr="000029C5">
        <w:t>, et développe son activité en</w:t>
      </w:r>
      <w:r>
        <w:t xml:space="preserve"> </w:t>
      </w:r>
      <w:r w:rsidR="000029C5" w:rsidRPr="000029C5">
        <w:t xml:space="preserve">Europe de l’Ouest. Elle a donc créé un </w:t>
      </w:r>
      <w:r>
        <w:t xml:space="preserve">local d’exploitation à </w:t>
      </w:r>
      <w:r w:rsidR="00FF1411">
        <w:t>Paris</w:t>
      </w:r>
      <w:r>
        <w:t xml:space="preserve">, </w:t>
      </w:r>
      <w:r w:rsidR="000029C5" w:rsidRPr="000029C5">
        <w:t>et obtenu l’immatriculation de cette succursale en</w:t>
      </w:r>
      <w:r>
        <w:t xml:space="preserve"> France en 2015</w:t>
      </w:r>
      <w:r w:rsidR="000029C5" w:rsidRPr="000029C5">
        <w:t>. Son activité commerciale ne cesse de se développer au point qu’aujourd’hui 95% de</w:t>
      </w:r>
      <w:r>
        <w:t xml:space="preserve"> </w:t>
      </w:r>
      <w:r w:rsidR="000029C5" w:rsidRPr="000029C5">
        <w:t>son chiffre d’affaire</w:t>
      </w:r>
      <w:r w:rsidR="00FF1411">
        <w:t>s</w:t>
      </w:r>
      <w:r w:rsidR="000029C5" w:rsidRPr="000029C5">
        <w:t xml:space="preserve"> provient de cet établissement secondaire</w:t>
      </w:r>
      <w:r w:rsidR="008D21CF">
        <w:t xml:space="preserve"> situé à Paris</w:t>
      </w:r>
      <w:r w:rsidR="000029C5" w:rsidRPr="000029C5">
        <w:t>. Les services commerciaux, comptables</w:t>
      </w:r>
      <w:r>
        <w:t xml:space="preserve"> </w:t>
      </w:r>
      <w:r w:rsidR="000029C5" w:rsidRPr="000029C5">
        <w:t xml:space="preserve">et financiers </w:t>
      </w:r>
      <w:r w:rsidR="008D21CF">
        <w:t xml:space="preserve">y </w:t>
      </w:r>
      <w:r w:rsidR="000029C5" w:rsidRPr="000029C5">
        <w:t xml:space="preserve">ont </w:t>
      </w:r>
      <w:r w:rsidR="008D21CF">
        <w:t xml:space="preserve">d’ailleurs </w:t>
      </w:r>
      <w:r w:rsidR="000029C5" w:rsidRPr="000029C5">
        <w:t xml:space="preserve">été transférés. La société a conservé un local </w:t>
      </w:r>
      <w:r w:rsidR="008D21CF">
        <w:t>à Plovdiv,</w:t>
      </w:r>
      <w:r w:rsidR="000029C5" w:rsidRPr="000029C5">
        <w:t xml:space="preserve"> avec un service</w:t>
      </w:r>
      <w:r>
        <w:t xml:space="preserve"> </w:t>
      </w:r>
      <w:r w:rsidR="000029C5" w:rsidRPr="000029C5">
        <w:t>ressou</w:t>
      </w:r>
      <w:r w:rsidR="008D21CF">
        <w:t>rces humaines, afin d’embaucher d</w:t>
      </w:r>
      <w:r w:rsidR="000029C5" w:rsidRPr="000029C5">
        <w:t>es salari</w:t>
      </w:r>
      <w:r>
        <w:t>és bulgares</w:t>
      </w:r>
      <w:r w:rsidR="008D21CF">
        <w:t xml:space="preserve"> et des pays limitrophes</w:t>
      </w:r>
      <w:r>
        <w:t xml:space="preserve">. </w:t>
      </w:r>
    </w:p>
    <w:p w14:paraId="5643985B" w14:textId="77777777" w:rsidR="008D21CF" w:rsidRDefault="00A00CAA" w:rsidP="00FF1411">
      <w:pPr>
        <w:widowControl w:val="0"/>
        <w:tabs>
          <w:tab w:val="left" w:pos="56"/>
        </w:tabs>
        <w:autoSpaceDE w:val="0"/>
        <w:autoSpaceDN w:val="0"/>
        <w:adjustRightInd w:val="0"/>
        <w:jc w:val="both"/>
      </w:pPr>
      <w:r>
        <w:t>Symeon et Todor</w:t>
      </w:r>
      <w:r w:rsidR="000029C5" w:rsidRPr="000029C5">
        <w:t xml:space="preserve">, tous deux associés de la </w:t>
      </w:r>
      <w:r>
        <w:t>société Eurotrans</w:t>
      </w:r>
      <w:r w:rsidR="000029C5" w:rsidRPr="000029C5">
        <w:t>, sont en conflit</w:t>
      </w:r>
      <w:r>
        <w:t xml:space="preserve"> </w:t>
      </w:r>
      <w:r w:rsidR="000029C5" w:rsidRPr="000029C5">
        <w:t>concernant les conditions de nomination du gérant, ainsi que la répartition des bénéfices.</w:t>
      </w:r>
      <w:r>
        <w:t xml:space="preserve"> </w:t>
      </w:r>
      <w:r w:rsidR="000029C5" w:rsidRPr="000029C5">
        <w:t xml:space="preserve">Les droits de vote multiples octroyés à </w:t>
      </w:r>
      <w:r>
        <w:t>Symeon</w:t>
      </w:r>
      <w:r w:rsidR="000029C5" w:rsidRPr="000029C5">
        <w:t xml:space="preserve"> ont conduit à l’adoption de décisions</w:t>
      </w:r>
      <w:r>
        <w:t xml:space="preserve"> </w:t>
      </w:r>
      <w:r w:rsidR="000029C5" w:rsidRPr="000029C5">
        <w:t>lésant son frère. De plus, les statuts prévoient une répartition inégalitai</w:t>
      </w:r>
      <w:r w:rsidR="00FF1411">
        <w:t xml:space="preserve">re des bénéfices au profit de </w:t>
      </w:r>
      <w:r>
        <w:t>Symeon</w:t>
      </w:r>
      <w:r w:rsidR="000029C5" w:rsidRPr="000029C5">
        <w:t xml:space="preserve">, et donc au détriment de </w:t>
      </w:r>
      <w:r>
        <w:t>Todor</w:t>
      </w:r>
      <w:r w:rsidR="000029C5" w:rsidRPr="000029C5">
        <w:t>.</w:t>
      </w:r>
      <w:r w:rsidR="008D21CF">
        <w:t xml:space="preserve"> </w:t>
      </w:r>
    </w:p>
    <w:p w14:paraId="7A38C501" w14:textId="77777777" w:rsidR="00A64F43" w:rsidRDefault="00A00CAA" w:rsidP="00FF1411">
      <w:pPr>
        <w:widowControl w:val="0"/>
        <w:tabs>
          <w:tab w:val="left" w:pos="56"/>
        </w:tabs>
        <w:autoSpaceDE w:val="0"/>
        <w:autoSpaceDN w:val="0"/>
        <w:adjustRightInd w:val="0"/>
        <w:jc w:val="both"/>
      </w:pPr>
      <w:r>
        <w:t xml:space="preserve">Todor a saisi le tribunal de commerce </w:t>
      </w:r>
      <w:r w:rsidR="00FF1411">
        <w:t xml:space="preserve">de Paris, les deux frères y résidant, </w:t>
      </w:r>
      <w:r w:rsidR="000029C5" w:rsidRPr="000029C5">
        <w:t xml:space="preserve">afin de </w:t>
      </w:r>
      <w:r w:rsidR="008D21CF">
        <w:t xml:space="preserve">faire </w:t>
      </w:r>
      <w:r w:rsidR="000029C5" w:rsidRPr="000029C5">
        <w:t>trancher</w:t>
      </w:r>
      <w:r>
        <w:t xml:space="preserve"> </w:t>
      </w:r>
      <w:r w:rsidR="008D21CF">
        <w:t>le litige</w:t>
      </w:r>
      <w:r w:rsidR="000029C5" w:rsidRPr="000029C5">
        <w:t xml:space="preserve">. </w:t>
      </w:r>
      <w:r w:rsidR="00FF1411">
        <w:t xml:space="preserve">Symeon considère que la loi applicable est la loi bulgare, tandis que Todor invoque l’applicabilité de la loi française. </w:t>
      </w:r>
    </w:p>
    <w:p w14:paraId="6EEAB16B" w14:textId="77777777" w:rsidR="00A64F43" w:rsidRDefault="00A64F43" w:rsidP="00FF1411">
      <w:pPr>
        <w:widowControl w:val="0"/>
        <w:tabs>
          <w:tab w:val="left" w:pos="56"/>
        </w:tabs>
        <w:autoSpaceDE w:val="0"/>
        <w:autoSpaceDN w:val="0"/>
        <w:adjustRightInd w:val="0"/>
        <w:jc w:val="both"/>
      </w:pPr>
    </w:p>
    <w:p w14:paraId="3CA55207" w14:textId="77777777" w:rsidR="001D6788" w:rsidRDefault="00FF1411" w:rsidP="00FF1411">
      <w:pPr>
        <w:widowControl w:val="0"/>
        <w:tabs>
          <w:tab w:val="left" w:pos="56"/>
        </w:tabs>
        <w:autoSpaceDE w:val="0"/>
        <w:autoSpaceDN w:val="0"/>
        <w:adjustRightInd w:val="0"/>
        <w:jc w:val="both"/>
      </w:pPr>
      <w:r>
        <w:t xml:space="preserve">Qu’en pensez-vous ? </w:t>
      </w:r>
    </w:p>
    <w:p w14:paraId="2D48AFA2" w14:textId="77777777" w:rsidR="00D61E7A" w:rsidRDefault="00D61E7A" w:rsidP="00FF1411">
      <w:pPr>
        <w:widowControl w:val="0"/>
        <w:tabs>
          <w:tab w:val="left" w:pos="56"/>
        </w:tabs>
        <w:autoSpaceDE w:val="0"/>
        <w:autoSpaceDN w:val="0"/>
        <w:adjustRightInd w:val="0"/>
        <w:jc w:val="both"/>
      </w:pPr>
    </w:p>
    <w:p w14:paraId="5886B291" w14:textId="77777777" w:rsidR="00D61E7A" w:rsidRDefault="00D61E7A" w:rsidP="00FF1411">
      <w:pPr>
        <w:widowControl w:val="0"/>
        <w:tabs>
          <w:tab w:val="left" w:pos="56"/>
        </w:tabs>
        <w:autoSpaceDE w:val="0"/>
        <w:autoSpaceDN w:val="0"/>
        <w:adjustRightInd w:val="0"/>
        <w:jc w:val="both"/>
      </w:pPr>
    </w:p>
    <w:p w14:paraId="427D40EA" w14:textId="380C7877" w:rsidR="00D61E7A" w:rsidRDefault="00D61E7A" w:rsidP="00D61E7A">
      <w:pPr>
        <w:widowControl w:val="0"/>
        <w:tabs>
          <w:tab w:val="left" w:pos="56"/>
        </w:tabs>
        <w:autoSpaceDE w:val="0"/>
        <w:autoSpaceDN w:val="0"/>
        <w:adjustRightInd w:val="0"/>
        <w:jc w:val="both"/>
      </w:pPr>
      <w:r>
        <w:t>Par ailleurs, la sœur de Symeon et Todor, Tatiana Dimitrov</w:t>
      </w:r>
      <w:r w:rsidR="009E7678">
        <w:t>a</w:t>
      </w:r>
      <w:r>
        <w:t xml:space="preserve">, a </w:t>
      </w:r>
      <w:r w:rsidR="00390934">
        <w:t>constitué</w:t>
      </w:r>
      <w:r>
        <w:t xml:space="preserve"> une société </w:t>
      </w:r>
      <w:r w:rsidR="00390934">
        <w:t>dont l’objet social est la</w:t>
      </w:r>
      <w:r>
        <w:t xml:space="preserve"> création de vêtements, la société Tissus modernes</w:t>
      </w:r>
      <w:r w:rsidR="00390934">
        <w:t>. L</w:t>
      </w:r>
      <w:r>
        <w:t>e siège est à Paris, rue d’Assas. Elle a conclu avec une société indienne, la société Indyvet, spécialisée dans la fabrication de tissu</w:t>
      </w:r>
      <w:r w:rsidR="00390934">
        <w:t>s,</w:t>
      </w:r>
      <w:r>
        <w:t xml:space="preserve"> un contrat de fourniture. Ce contrat contient la clause suivante :</w:t>
      </w:r>
    </w:p>
    <w:p w14:paraId="5A301B7C" w14:textId="77777777" w:rsidR="00D61E7A" w:rsidRDefault="00D61E7A" w:rsidP="00D61E7A">
      <w:pPr>
        <w:widowControl w:val="0"/>
        <w:tabs>
          <w:tab w:val="left" w:pos="56"/>
        </w:tabs>
        <w:autoSpaceDE w:val="0"/>
        <w:autoSpaceDN w:val="0"/>
        <w:adjustRightInd w:val="0"/>
        <w:jc w:val="both"/>
      </w:pPr>
    </w:p>
    <w:p w14:paraId="029B5305" w14:textId="77777777" w:rsidR="00D61E7A" w:rsidRPr="00D61E7A" w:rsidRDefault="00D61E7A" w:rsidP="00D61E7A">
      <w:pPr>
        <w:widowControl w:val="0"/>
        <w:tabs>
          <w:tab w:val="left" w:pos="56"/>
        </w:tabs>
        <w:autoSpaceDE w:val="0"/>
        <w:autoSpaceDN w:val="0"/>
        <w:adjustRightInd w:val="0"/>
        <w:ind w:left="708"/>
        <w:jc w:val="both"/>
      </w:pPr>
      <w:r w:rsidRPr="00D61E7A">
        <w:t xml:space="preserve">« Tous litiges relatifs à la formation, à l’interprétation, ou à l’exécution du présent contrat seront tranchés définitivement par voie d’arbitrage par trois arbitres conformément au Règlement d’Arbitrage de la Chambre de Commerce Internationale. Le lieu de l’arbitrage sera Paris. </w:t>
      </w:r>
      <w:r>
        <w:t>Le Tribunal arbitral appliquera les</w:t>
      </w:r>
      <w:r w:rsidRPr="00D61E7A">
        <w:t xml:space="preserve"> principes communs du droit français et du droit </w:t>
      </w:r>
      <w:r>
        <w:t>indien</w:t>
      </w:r>
      <w:r w:rsidRPr="00D61E7A">
        <w:t xml:space="preserve">, et, à défaut de principes communs, la </w:t>
      </w:r>
      <w:r w:rsidRPr="000806D5">
        <w:rPr>
          <w:i/>
        </w:rPr>
        <w:t>lex mercatoria</w:t>
      </w:r>
      <w:r w:rsidRPr="00D61E7A">
        <w:t> ».</w:t>
      </w:r>
    </w:p>
    <w:p w14:paraId="1BCC9AAB" w14:textId="77777777" w:rsidR="00D61E7A" w:rsidRPr="00D61E7A" w:rsidRDefault="00D61E7A" w:rsidP="00D61E7A">
      <w:pPr>
        <w:widowControl w:val="0"/>
        <w:tabs>
          <w:tab w:val="left" w:pos="56"/>
        </w:tabs>
        <w:autoSpaceDE w:val="0"/>
        <w:autoSpaceDN w:val="0"/>
        <w:adjustRightInd w:val="0"/>
        <w:jc w:val="both"/>
      </w:pPr>
    </w:p>
    <w:p w14:paraId="13566047" w14:textId="68635163" w:rsidR="007C294F" w:rsidRDefault="00D61E7A" w:rsidP="00D61E7A">
      <w:pPr>
        <w:widowControl w:val="0"/>
        <w:tabs>
          <w:tab w:val="left" w:pos="56"/>
        </w:tabs>
        <w:autoSpaceDE w:val="0"/>
        <w:autoSpaceDN w:val="0"/>
        <w:adjustRightInd w:val="0"/>
        <w:jc w:val="both"/>
      </w:pPr>
      <w:r>
        <w:t xml:space="preserve">A la suite d’un différend, un tribunal arbitral a rendu à Paris une sentence favorable à la société Tissus modernes. </w:t>
      </w:r>
      <w:r w:rsidR="00FB2328">
        <w:t xml:space="preserve">Par une sentence préliminaire, le tribunal arbitral a jugé qu’il ne pouvait y avoir de </w:t>
      </w:r>
      <w:r w:rsidR="00E97553">
        <w:t xml:space="preserve">principes communs entre le droit français (droit de tradition romano-germanique) et le droit indien (droit de </w:t>
      </w:r>
      <w:r w:rsidR="00E97553" w:rsidRPr="000806D5">
        <w:rPr>
          <w:i/>
        </w:rPr>
        <w:t>common law</w:t>
      </w:r>
      <w:r w:rsidR="00E97553">
        <w:t>)</w:t>
      </w:r>
      <w:r w:rsidR="00FB2328">
        <w:t>. Les</w:t>
      </w:r>
      <w:r w:rsidR="00E97553">
        <w:t xml:space="preserve"> arbitres se </w:t>
      </w:r>
      <w:r w:rsidR="00390934">
        <w:t>s</w:t>
      </w:r>
      <w:r w:rsidR="00E97553">
        <w:t xml:space="preserve">ont </w:t>
      </w:r>
      <w:r w:rsidR="00FB2328">
        <w:t xml:space="preserve">alors </w:t>
      </w:r>
      <w:r w:rsidR="00E97553">
        <w:t xml:space="preserve">référés à la </w:t>
      </w:r>
      <w:r w:rsidR="00E97553" w:rsidRPr="000806D5">
        <w:rPr>
          <w:i/>
        </w:rPr>
        <w:t>lex mercatoria</w:t>
      </w:r>
      <w:r w:rsidR="00E97553">
        <w:t xml:space="preserve"> et </w:t>
      </w:r>
      <w:r w:rsidR="00FB2328">
        <w:t xml:space="preserve">ont décidé d’appliquer le principe </w:t>
      </w:r>
      <w:r w:rsidR="00FB2328" w:rsidRPr="000806D5">
        <w:rPr>
          <w:i/>
        </w:rPr>
        <w:t>Pacta sunt servanda</w:t>
      </w:r>
      <w:r w:rsidR="00FB2328">
        <w:t xml:space="preserve">, le cas échéant sous réserve de la bonne foi </w:t>
      </w:r>
      <w:r w:rsidR="00B86AF0">
        <w:t>telle</w:t>
      </w:r>
      <w:r w:rsidR="00FB2328">
        <w:t xml:space="preserve"> qu’interprétée dans les opérations du commerce international</w:t>
      </w:r>
      <w:r w:rsidR="00E97553">
        <w:t xml:space="preserve">. </w:t>
      </w:r>
      <w:r>
        <w:t>La société Indyvet a formé un recours en annulation</w:t>
      </w:r>
      <w:r w:rsidR="00E97553">
        <w:t xml:space="preserve"> porté devant la cour d’appel de Paris</w:t>
      </w:r>
      <w:r>
        <w:t>.</w:t>
      </w:r>
      <w:r w:rsidR="00E97553">
        <w:t xml:space="preserve"> La société recourante considère d’une part que la clause compromissoire est nulle en application du droit indien, droit qu’elle considère applicable à la convention d’arbitrage (au motif que le contrat fait référence au droit indien). D’autre part, </w:t>
      </w:r>
      <w:r w:rsidR="00775DBB">
        <w:t>e</w:t>
      </w:r>
      <w:r w:rsidR="00FB2328">
        <w:t xml:space="preserve">lle considère que les arbitres </w:t>
      </w:r>
      <w:r w:rsidR="00775DBB">
        <w:t xml:space="preserve">ont violé la mission </w:t>
      </w:r>
      <w:r w:rsidR="00440141">
        <w:t>qui</w:t>
      </w:r>
      <w:r w:rsidR="00775DBB">
        <w:t xml:space="preserve"> leur avait été confiée</w:t>
      </w:r>
      <w:r w:rsidR="00FB2328">
        <w:t>. Ils devaient appliquer des principes communs au droit français et au droit indien, ce qu’ils ont refusé de faire</w:t>
      </w:r>
      <w:r w:rsidR="00775DBB">
        <w:t xml:space="preserve">. </w:t>
      </w:r>
      <w:r w:rsidR="007C294F">
        <w:t>Enfin, la société indienne considère que</w:t>
      </w:r>
      <w:r w:rsidR="006B5CC2">
        <w:t xml:space="preserve"> le fait pour les arbitres</w:t>
      </w:r>
      <w:r w:rsidR="007C294F">
        <w:t xml:space="preserve"> </w:t>
      </w:r>
      <w:r w:rsidR="000806D5">
        <w:t xml:space="preserve">de </w:t>
      </w:r>
      <w:r w:rsidR="007C294F">
        <w:t xml:space="preserve">statuer au regard de la </w:t>
      </w:r>
      <w:r w:rsidR="007C294F" w:rsidRPr="000806D5">
        <w:rPr>
          <w:i/>
        </w:rPr>
        <w:t>lex mercatoria</w:t>
      </w:r>
      <w:r w:rsidR="007C294F">
        <w:t>, quand bien même la clause l</w:t>
      </w:r>
      <w:r w:rsidR="006B5CC2">
        <w:t xml:space="preserve">es y </w:t>
      </w:r>
      <w:r w:rsidR="007C294F">
        <w:t xml:space="preserve">autorisait, aboutit à une violation de l’ordre public international. En effet, selon elle, la sécurité juridique et la prévisibilité du droit sont des valeurs relevant de l’ordre public international, la </w:t>
      </w:r>
      <w:r w:rsidR="007C294F" w:rsidRPr="000806D5">
        <w:rPr>
          <w:i/>
        </w:rPr>
        <w:t>lex mercatoria</w:t>
      </w:r>
      <w:r w:rsidR="007C294F">
        <w:t xml:space="preserve">, par son imprévisibilité et par l’arbitraire qu’elle </w:t>
      </w:r>
      <w:r w:rsidR="00045C76">
        <w:t>engendre</w:t>
      </w:r>
      <w:r w:rsidR="007C294F">
        <w:t>, étant contraire à ces valeurs.</w:t>
      </w:r>
    </w:p>
    <w:p w14:paraId="73B83937" w14:textId="77777777" w:rsidR="007C294F" w:rsidRDefault="007C294F" w:rsidP="00D61E7A">
      <w:pPr>
        <w:widowControl w:val="0"/>
        <w:tabs>
          <w:tab w:val="left" w:pos="56"/>
        </w:tabs>
        <w:autoSpaceDE w:val="0"/>
        <w:autoSpaceDN w:val="0"/>
        <w:adjustRightInd w:val="0"/>
        <w:jc w:val="both"/>
      </w:pPr>
    </w:p>
    <w:p w14:paraId="7D77E05F" w14:textId="77777777" w:rsidR="00D61E7A" w:rsidRDefault="00775DBB" w:rsidP="00D61E7A">
      <w:pPr>
        <w:widowControl w:val="0"/>
        <w:tabs>
          <w:tab w:val="left" w:pos="56"/>
        </w:tabs>
        <w:autoSpaceDE w:val="0"/>
        <w:autoSpaceDN w:val="0"/>
        <w:adjustRightInd w:val="0"/>
        <w:jc w:val="both"/>
      </w:pPr>
      <w:r>
        <w:t xml:space="preserve">Qu’en pensez-vous ? </w:t>
      </w:r>
    </w:p>
    <w:p w14:paraId="7AE7A434" w14:textId="77777777" w:rsidR="00775DBB" w:rsidRDefault="00775DBB" w:rsidP="00D61E7A">
      <w:pPr>
        <w:widowControl w:val="0"/>
        <w:tabs>
          <w:tab w:val="left" w:pos="56"/>
        </w:tabs>
        <w:autoSpaceDE w:val="0"/>
        <w:autoSpaceDN w:val="0"/>
        <w:adjustRightInd w:val="0"/>
        <w:jc w:val="both"/>
      </w:pPr>
    </w:p>
    <w:p w14:paraId="23935D4C" w14:textId="77777777" w:rsidR="00D61E7A" w:rsidRPr="00045C76" w:rsidRDefault="00926A32" w:rsidP="00D61E7A">
      <w:pPr>
        <w:widowControl w:val="0"/>
        <w:tabs>
          <w:tab w:val="left" w:pos="56"/>
        </w:tabs>
        <w:autoSpaceDE w:val="0"/>
        <w:autoSpaceDN w:val="0"/>
        <w:adjustRightInd w:val="0"/>
        <w:jc w:val="both"/>
        <w:rPr>
          <w:b/>
        </w:rPr>
      </w:pPr>
      <w:r w:rsidRPr="00045C76">
        <w:rPr>
          <w:b/>
        </w:rPr>
        <w:t>Sujet 2 : Cas pratique inversé</w:t>
      </w:r>
    </w:p>
    <w:p w14:paraId="676EF091" w14:textId="77777777" w:rsidR="00926A32" w:rsidRDefault="00926A32" w:rsidP="00D61E7A">
      <w:pPr>
        <w:widowControl w:val="0"/>
        <w:tabs>
          <w:tab w:val="left" w:pos="56"/>
        </w:tabs>
        <w:autoSpaceDE w:val="0"/>
        <w:autoSpaceDN w:val="0"/>
        <w:adjustRightInd w:val="0"/>
        <w:jc w:val="both"/>
      </w:pPr>
    </w:p>
    <w:p w14:paraId="260FE137" w14:textId="77777777" w:rsidR="00926A32" w:rsidRDefault="00926A32" w:rsidP="00926A32">
      <w:pPr>
        <w:widowControl w:val="0"/>
        <w:tabs>
          <w:tab w:val="left" w:pos="56"/>
        </w:tabs>
        <w:autoSpaceDE w:val="0"/>
        <w:autoSpaceDN w:val="0"/>
        <w:adjustRightInd w:val="0"/>
        <w:jc w:val="both"/>
        <w:rPr>
          <w:lang w:bidi="fr-FR"/>
        </w:rPr>
      </w:pPr>
      <w:r w:rsidRPr="00926A32">
        <w:rPr>
          <w:lang w:bidi="fr-FR"/>
        </w:rPr>
        <w:t xml:space="preserve">À partir des éléments de cours et de vos connaissances, vous élaborerez un cas pratique (comportant deux problèmes de droit au minimum, chacun pouvant comporter des sous-problèmes) mettant en situation les éléments suivants : </w:t>
      </w:r>
    </w:p>
    <w:p w14:paraId="4A3FBC18" w14:textId="77777777" w:rsidR="00926A32" w:rsidRPr="00926A32" w:rsidRDefault="00926A32" w:rsidP="00926A32">
      <w:pPr>
        <w:widowControl w:val="0"/>
        <w:tabs>
          <w:tab w:val="left" w:pos="56"/>
        </w:tabs>
        <w:autoSpaceDE w:val="0"/>
        <w:autoSpaceDN w:val="0"/>
        <w:adjustRightInd w:val="0"/>
        <w:jc w:val="both"/>
        <w:rPr>
          <w:lang w:bidi="fr-FR"/>
        </w:rPr>
      </w:pPr>
    </w:p>
    <w:p w14:paraId="0A1FB8A4" w14:textId="77777777" w:rsidR="00926A32" w:rsidRPr="00926A32" w:rsidRDefault="00926A32" w:rsidP="00926A32">
      <w:pPr>
        <w:pStyle w:val="Paragraphedeliste"/>
        <w:widowControl w:val="0"/>
        <w:numPr>
          <w:ilvl w:val="0"/>
          <w:numId w:val="2"/>
        </w:numPr>
        <w:tabs>
          <w:tab w:val="left" w:pos="56"/>
        </w:tabs>
        <w:autoSpaceDE w:val="0"/>
        <w:autoSpaceDN w:val="0"/>
        <w:adjustRightInd w:val="0"/>
        <w:jc w:val="both"/>
        <w:rPr>
          <w:u w:val="single"/>
          <w:lang w:bidi="fr-FR"/>
        </w:rPr>
      </w:pPr>
      <w:r w:rsidRPr="00926A32">
        <w:rPr>
          <w:u w:val="single"/>
          <w:lang w:bidi="fr-FR"/>
        </w:rPr>
        <w:t xml:space="preserve">La réalisation d’un investissement dans un pays imaginaire (et caractérisé par son instabilité politique notoire) par un investisseur </w:t>
      </w:r>
      <w:r>
        <w:rPr>
          <w:u w:val="single"/>
          <w:lang w:bidi="fr-FR"/>
        </w:rPr>
        <w:t>de nationalité étrangère</w:t>
      </w:r>
      <w:r w:rsidRPr="00926A32">
        <w:rPr>
          <w:u w:val="single"/>
          <w:lang w:bidi="fr-FR"/>
        </w:rPr>
        <w:t xml:space="preserve">. </w:t>
      </w:r>
    </w:p>
    <w:p w14:paraId="7DFB2FD6" w14:textId="77777777" w:rsidR="00926A32" w:rsidRPr="00926A32" w:rsidRDefault="00926A32" w:rsidP="00926A32">
      <w:pPr>
        <w:widowControl w:val="0"/>
        <w:tabs>
          <w:tab w:val="left" w:pos="56"/>
        </w:tabs>
        <w:autoSpaceDE w:val="0"/>
        <w:autoSpaceDN w:val="0"/>
        <w:adjustRightInd w:val="0"/>
        <w:jc w:val="both"/>
        <w:rPr>
          <w:lang w:bidi="fr-FR"/>
        </w:rPr>
      </w:pPr>
    </w:p>
    <w:p w14:paraId="286710CA" w14:textId="77777777" w:rsidR="00926A32" w:rsidRPr="00926A32" w:rsidRDefault="00926A32" w:rsidP="00926A32">
      <w:pPr>
        <w:widowControl w:val="0"/>
        <w:tabs>
          <w:tab w:val="left" w:pos="56"/>
        </w:tabs>
        <w:autoSpaceDE w:val="0"/>
        <w:autoSpaceDN w:val="0"/>
        <w:adjustRightInd w:val="0"/>
        <w:jc w:val="both"/>
        <w:rPr>
          <w:lang w:bidi="fr-FR"/>
        </w:rPr>
      </w:pPr>
      <w:r w:rsidRPr="00926A32">
        <w:rPr>
          <w:lang w:bidi="fr-FR"/>
        </w:rPr>
        <w:t>Vous joindrez à votre cas pratique un corrigé synthétique permettant de résoudre les problèmes posés, en prenant soin d’indiquer les sources et le cheminement de votre argumentation. Dans cet ordre, il convient de :</w:t>
      </w:r>
    </w:p>
    <w:p w14:paraId="14FBEC87" w14:textId="77777777" w:rsidR="00926A32" w:rsidRPr="00926A32" w:rsidRDefault="00926A32" w:rsidP="00926A32">
      <w:pPr>
        <w:widowControl w:val="0"/>
        <w:tabs>
          <w:tab w:val="left" w:pos="56"/>
        </w:tabs>
        <w:autoSpaceDE w:val="0"/>
        <w:autoSpaceDN w:val="0"/>
        <w:adjustRightInd w:val="0"/>
        <w:jc w:val="both"/>
        <w:rPr>
          <w:lang w:bidi="fr-FR"/>
        </w:rPr>
      </w:pPr>
      <w:r w:rsidRPr="00926A32">
        <w:rPr>
          <w:lang w:bidi="fr-FR"/>
        </w:rPr>
        <w:t>-       s’interroger sur les différentes voies possibles de traitement juridique </w:t>
      </w:r>
    </w:p>
    <w:p w14:paraId="1FADB409" w14:textId="77777777" w:rsidR="00926A32" w:rsidRPr="00926A32" w:rsidRDefault="00926A32" w:rsidP="00926A32">
      <w:pPr>
        <w:widowControl w:val="0"/>
        <w:tabs>
          <w:tab w:val="left" w:pos="56"/>
        </w:tabs>
        <w:autoSpaceDE w:val="0"/>
        <w:autoSpaceDN w:val="0"/>
        <w:adjustRightInd w:val="0"/>
        <w:jc w:val="both"/>
        <w:rPr>
          <w:lang w:bidi="fr-FR"/>
        </w:rPr>
      </w:pPr>
      <w:r w:rsidRPr="00926A32">
        <w:rPr>
          <w:lang w:bidi="fr-FR"/>
        </w:rPr>
        <w:t>-       éprouver lesdites voies en vue de la résolution du cas </w:t>
      </w:r>
    </w:p>
    <w:p w14:paraId="65E09190" w14:textId="77777777" w:rsidR="00926A32" w:rsidRDefault="00926A32" w:rsidP="00926A32">
      <w:pPr>
        <w:widowControl w:val="0"/>
        <w:tabs>
          <w:tab w:val="left" w:pos="56"/>
        </w:tabs>
        <w:autoSpaceDE w:val="0"/>
        <w:autoSpaceDN w:val="0"/>
        <w:adjustRightInd w:val="0"/>
        <w:jc w:val="both"/>
        <w:rPr>
          <w:lang w:bidi="fr-FR"/>
        </w:rPr>
      </w:pPr>
      <w:r w:rsidRPr="00926A32">
        <w:rPr>
          <w:lang w:bidi="fr-FR"/>
        </w:rPr>
        <w:t xml:space="preserve">-       indiquer </w:t>
      </w:r>
      <w:r w:rsidRPr="00926A32">
        <w:rPr>
          <w:i/>
          <w:iCs/>
          <w:lang w:bidi="fr-FR"/>
        </w:rPr>
        <w:t>in fine</w:t>
      </w:r>
      <w:r w:rsidRPr="00926A32">
        <w:rPr>
          <w:lang w:bidi="fr-FR"/>
        </w:rPr>
        <w:t xml:space="preserve"> la solution (il peut y en avoir plusieurs) qui semble la plus adaptée au traitement du cas.</w:t>
      </w:r>
    </w:p>
    <w:p w14:paraId="733D2869" w14:textId="77777777" w:rsidR="00045C76" w:rsidRPr="00926A32" w:rsidRDefault="00045C76" w:rsidP="00926A32">
      <w:pPr>
        <w:widowControl w:val="0"/>
        <w:tabs>
          <w:tab w:val="left" w:pos="56"/>
        </w:tabs>
        <w:autoSpaceDE w:val="0"/>
        <w:autoSpaceDN w:val="0"/>
        <w:adjustRightInd w:val="0"/>
        <w:jc w:val="both"/>
        <w:rPr>
          <w:lang w:bidi="fr-FR"/>
        </w:rPr>
      </w:pPr>
    </w:p>
    <w:p w14:paraId="0C4441F4" w14:textId="77777777" w:rsidR="00926A32" w:rsidRPr="00926A32" w:rsidRDefault="00926A32" w:rsidP="00926A32">
      <w:pPr>
        <w:widowControl w:val="0"/>
        <w:tabs>
          <w:tab w:val="left" w:pos="56"/>
        </w:tabs>
        <w:autoSpaceDE w:val="0"/>
        <w:autoSpaceDN w:val="0"/>
        <w:adjustRightInd w:val="0"/>
        <w:jc w:val="both"/>
        <w:rPr>
          <w:lang w:bidi="fr-FR"/>
        </w:rPr>
      </w:pPr>
      <w:r w:rsidRPr="00926A32">
        <w:rPr>
          <w:lang w:bidi="fr-FR"/>
        </w:rPr>
        <w:lastRenderedPageBreak/>
        <w:t xml:space="preserve">Conseils méthodologiques : </w:t>
      </w:r>
    </w:p>
    <w:p w14:paraId="31A2E038" w14:textId="77777777" w:rsidR="00926A32" w:rsidRPr="00926A32" w:rsidRDefault="00926A32" w:rsidP="00926A32">
      <w:pPr>
        <w:widowControl w:val="0"/>
        <w:tabs>
          <w:tab w:val="left" w:pos="56"/>
        </w:tabs>
        <w:autoSpaceDE w:val="0"/>
        <w:autoSpaceDN w:val="0"/>
        <w:adjustRightInd w:val="0"/>
        <w:jc w:val="both"/>
        <w:rPr>
          <w:lang w:bidi="fr-FR"/>
        </w:rPr>
      </w:pPr>
      <w:r w:rsidRPr="00926A32">
        <w:rPr>
          <w:lang w:bidi="fr-FR"/>
        </w:rPr>
        <w:t>Cet exercice a pour objectif de vous amener à réfléchir de manière précise et circonstanciée à la façon dont le droit se concrétise autour de situations que vous avez à imaginer et à traiter juridiquement.</w:t>
      </w:r>
    </w:p>
    <w:p w14:paraId="50808F1F" w14:textId="77777777" w:rsidR="00926A32" w:rsidRPr="00926A32" w:rsidRDefault="00926A32" w:rsidP="00926A32">
      <w:pPr>
        <w:widowControl w:val="0"/>
        <w:tabs>
          <w:tab w:val="left" w:pos="56"/>
        </w:tabs>
        <w:autoSpaceDE w:val="0"/>
        <w:autoSpaceDN w:val="0"/>
        <w:adjustRightInd w:val="0"/>
        <w:jc w:val="both"/>
        <w:rPr>
          <w:lang w:bidi="fr-FR"/>
        </w:rPr>
      </w:pPr>
      <w:r w:rsidRPr="00926A32">
        <w:rPr>
          <w:lang w:bidi="fr-FR"/>
        </w:rPr>
        <w:t xml:space="preserve">Une situation est un cas plus ou moins complexe. Elle est l’occasion pour vous d’identifier les éléments de fait pertinents au traitement juridique de la problématique. Cette problématique est définie par le sujet. Elle peut porter sur un point précis ou avoir un caractère plus transversal. Dans tous les cas, il convient d’étoffer le cas pratique et, éventuellement, de travailler les angles morts d’un sujet (ex. question non résolue à ce jour ou dont la réponse est incertaine). </w:t>
      </w:r>
    </w:p>
    <w:p w14:paraId="6EFF7CBD" w14:textId="77777777" w:rsidR="00926A32" w:rsidRPr="00926A32" w:rsidRDefault="00926A32" w:rsidP="00926A32">
      <w:pPr>
        <w:widowControl w:val="0"/>
        <w:tabs>
          <w:tab w:val="left" w:pos="56"/>
        </w:tabs>
        <w:autoSpaceDE w:val="0"/>
        <w:autoSpaceDN w:val="0"/>
        <w:adjustRightInd w:val="0"/>
        <w:jc w:val="both"/>
        <w:rPr>
          <w:lang w:bidi="fr-FR"/>
        </w:rPr>
      </w:pPr>
      <w:r w:rsidRPr="00926A32">
        <w:rPr>
          <w:lang w:bidi="fr-FR"/>
        </w:rPr>
        <w:t>Sur le plan méthodologique, l’exercice ne pose pas de difficultés particulières. Il est utile de présenter la situation que vous avez imaginée (dans les cas complexes, on veillera à faire évoluer la situation au fur et à mesure du traitement du cas de manière à donner une amplitude maximale à l’analyse juridique) pour illustrer la problématique du sujet.</w:t>
      </w:r>
    </w:p>
    <w:p w14:paraId="5A614EC0" w14:textId="77777777" w:rsidR="001D6788" w:rsidRDefault="001D6788" w:rsidP="00944A74">
      <w:pPr>
        <w:widowControl w:val="0"/>
        <w:tabs>
          <w:tab w:val="left" w:pos="56"/>
        </w:tabs>
        <w:autoSpaceDE w:val="0"/>
        <w:autoSpaceDN w:val="0"/>
        <w:adjustRightInd w:val="0"/>
      </w:pPr>
    </w:p>
    <w:p w14:paraId="621711C3" w14:textId="77777777" w:rsidR="001D6788" w:rsidRDefault="001D6788" w:rsidP="00944A74">
      <w:pPr>
        <w:widowControl w:val="0"/>
        <w:tabs>
          <w:tab w:val="left" w:pos="56"/>
        </w:tabs>
        <w:autoSpaceDE w:val="0"/>
        <w:autoSpaceDN w:val="0"/>
        <w:adjustRightInd w:val="0"/>
      </w:pPr>
    </w:p>
    <w:p w14:paraId="2A1142E7" w14:textId="77777777"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926A32">
        <w:rPr>
          <w:rFonts w:ascii="Arial" w:hAnsi="Arial" w:cs="Arial"/>
          <w:b/>
          <w:bCs/>
          <w:color w:val="000000"/>
        </w:rPr>
        <w:t>néant</w:t>
      </w:r>
    </w:p>
    <w:p w14:paraId="73406252" w14:textId="77777777" w:rsidR="00C62AB8" w:rsidRDefault="00C62AB8" w:rsidP="00C62AB8"/>
    <w:p w14:paraId="0808CBCB" w14:textId="77777777" w:rsidR="00944A74" w:rsidRDefault="00944A74" w:rsidP="00C62AB8"/>
    <w:p w14:paraId="547EE2B7" w14:textId="77777777" w:rsidR="00944A74" w:rsidRDefault="00944A74" w:rsidP="00C62AB8"/>
    <w:p w14:paraId="22CC7A9F" w14:textId="77777777" w:rsidR="00944A74" w:rsidRDefault="00944A74" w:rsidP="00C62AB8"/>
    <w:p w14:paraId="1988EE12" w14:textId="77777777" w:rsidR="00BF393C" w:rsidRDefault="00BF393C"/>
    <w:sectPr w:rsidR="00BF393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FDB9C" w16cex:dateUtc="2021-04-25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FEE093" w16cid:durableId="242FDB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A74AD" w14:textId="77777777" w:rsidR="00CE3AB9" w:rsidRDefault="00CE3AB9" w:rsidP="00C6511E">
      <w:r>
        <w:separator/>
      </w:r>
    </w:p>
  </w:endnote>
  <w:endnote w:type="continuationSeparator" w:id="0">
    <w:p w14:paraId="323D9603" w14:textId="77777777" w:rsidR="00CE3AB9" w:rsidRDefault="00CE3AB9" w:rsidP="00C6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CB0C" w14:textId="77777777" w:rsidR="00CE3AB9" w:rsidRDefault="00CE3AB9" w:rsidP="00C6511E">
      <w:r>
        <w:separator/>
      </w:r>
    </w:p>
  </w:footnote>
  <w:footnote w:type="continuationSeparator" w:id="0">
    <w:p w14:paraId="5B9335A0" w14:textId="77777777" w:rsidR="00CE3AB9" w:rsidRDefault="00CE3AB9" w:rsidP="00C651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4D9"/>
    <w:multiLevelType w:val="hybridMultilevel"/>
    <w:tmpl w:val="EB641D62"/>
    <w:lvl w:ilvl="0" w:tplc="C11A8CB8">
      <w:start w:val="13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B7B4979"/>
    <w:multiLevelType w:val="hybridMultilevel"/>
    <w:tmpl w:val="8B363F66"/>
    <w:lvl w:ilvl="0" w:tplc="DD664D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0029C5"/>
    <w:rsid w:val="00045C76"/>
    <w:rsid w:val="000806D5"/>
    <w:rsid w:val="00110FE2"/>
    <w:rsid w:val="001D6788"/>
    <w:rsid w:val="00325FF0"/>
    <w:rsid w:val="00390934"/>
    <w:rsid w:val="003B417D"/>
    <w:rsid w:val="003D5B0F"/>
    <w:rsid w:val="00440141"/>
    <w:rsid w:val="004F6AF8"/>
    <w:rsid w:val="006706BC"/>
    <w:rsid w:val="006B5CC2"/>
    <w:rsid w:val="006E78FF"/>
    <w:rsid w:val="00775DBB"/>
    <w:rsid w:val="007C294F"/>
    <w:rsid w:val="00832A7A"/>
    <w:rsid w:val="008D21CF"/>
    <w:rsid w:val="008F26CA"/>
    <w:rsid w:val="00926A32"/>
    <w:rsid w:val="00944A74"/>
    <w:rsid w:val="009E7678"/>
    <w:rsid w:val="00A00CAA"/>
    <w:rsid w:val="00A64F43"/>
    <w:rsid w:val="00AB6A7C"/>
    <w:rsid w:val="00AC5201"/>
    <w:rsid w:val="00AE726E"/>
    <w:rsid w:val="00B86AF0"/>
    <w:rsid w:val="00BB4C4E"/>
    <w:rsid w:val="00BF393C"/>
    <w:rsid w:val="00C62AB8"/>
    <w:rsid w:val="00C6511E"/>
    <w:rsid w:val="00CD2095"/>
    <w:rsid w:val="00CE3AB9"/>
    <w:rsid w:val="00D61E7A"/>
    <w:rsid w:val="00E71E9B"/>
    <w:rsid w:val="00E97553"/>
    <w:rsid w:val="00EF2DF2"/>
    <w:rsid w:val="00F515DC"/>
    <w:rsid w:val="00FB2328"/>
    <w:rsid w:val="00FF1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1838"/>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A32"/>
    <w:pPr>
      <w:ind w:left="720"/>
      <w:contextualSpacing/>
    </w:pPr>
  </w:style>
  <w:style w:type="paragraph" w:styleId="En-tte">
    <w:name w:val="header"/>
    <w:basedOn w:val="Normal"/>
    <w:link w:val="En-tteCar"/>
    <w:uiPriority w:val="99"/>
    <w:unhideWhenUsed/>
    <w:rsid w:val="00C6511E"/>
    <w:pPr>
      <w:tabs>
        <w:tab w:val="center" w:pos="4536"/>
        <w:tab w:val="right" w:pos="9072"/>
      </w:tabs>
    </w:pPr>
  </w:style>
  <w:style w:type="character" w:customStyle="1" w:styleId="En-tteCar">
    <w:name w:val="En-tête Car"/>
    <w:basedOn w:val="Policepardfaut"/>
    <w:link w:val="En-tte"/>
    <w:uiPriority w:val="99"/>
    <w:rsid w:val="00C65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511E"/>
    <w:pPr>
      <w:tabs>
        <w:tab w:val="center" w:pos="4536"/>
        <w:tab w:val="right" w:pos="9072"/>
      </w:tabs>
    </w:pPr>
  </w:style>
  <w:style w:type="character" w:customStyle="1" w:styleId="PieddepageCar">
    <w:name w:val="Pied de page Car"/>
    <w:basedOn w:val="Policepardfaut"/>
    <w:link w:val="Pieddepage"/>
    <w:uiPriority w:val="99"/>
    <w:rsid w:val="00C6511E"/>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C5201"/>
    <w:rPr>
      <w:sz w:val="16"/>
      <w:szCs w:val="16"/>
    </w:rPr>
  </w:style>
  <w:style w:type="paragraph" w:styleId="Commentaire">
    <w:name w:val="annotation text"/>
    <w:basedOn w:val="Normal"/>
    <w:link w:val="CommentaireCar"/>
    <w:uiPriority w:val="99"/>
    <w:semiHidden/>
    <w:unhideWhenUsed/>
    <w:rsid w:val="00AC5201"/>
    <w:rPr>
      <w:sz w:val="20"/>
      <w:szCs w:val="20"/>
    </w:rPr>
  </w:style>
  <w:style w:type="character" w:customStyle="1" w:styleId="CommentaireCar">
    <w:name w:val="Commentaire Car"/>
    <w:basedOn w:val="Policepardfaut"/>
    <w:link w:val="Commentaire"/>
    <w:uiPriority w:val="99"/>
    <w:semiHidden/>
    <w:rsid w:val="00AC520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C5201"/>
    <w:rPr>
      <w:b/>
      <w:bCs/>
    </w:rPr>
  </w:style>
  <w:style w:type="character" w:customStyle="1" w:styleId="ObjetducommentaireCar">
    <w:name w:val="Objet du commentaire Car"/>
    <w:basedOn w:val="CommentaireCar"/>
    <w:link w:val="Objetducommentaire"/>
    <w:uiPriority w:val="99"/>
    <w:semiHidden/>
    <w:rsid w:val="00AC520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401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014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Jean-Baptiste Racine</cp:lastModifiedBy>
  <cp:revision>2</cp:revision>
  <dcterms:created xsi:type="dcterms:W3CDTF">2021-04-25T13:12:00Z</dcterms:created>
  <dcterms:modified xsi:type="dcterms:W3CDTF">2021-04-25T13:12:00Z</dcterms:modified>
</cp:coreProperties>
</file>