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8D15F" w14:textId="77777777" w:rsidR="00506618" w:rsidRDefault="00503C5D">
      <w:pPr>
        <w:jc w:val="center"/>
        <w:rPr>
          <w:b/>
          <w:smallCaps/>
          <w:sz w:val="22"/>
        </w:rPr>
      </w:pPr>
      <w:r>
        <w:rPr>
          <w:b/>
          <w:smallCaps/>
          <w:sz w:val="22"/>
        </w:rPr>
        <w:t>UNIVERSITÉ PANTHÉON-ASSAS (PARIS II)</w:t>
      </w:r>
    </w:p>
    <w:p w14:paraId="16E4EE13" w14:textId="4F91A11C" w:rsidR="00506618" w:rsidRDefault="00503C5D">
      <w:pPr>
        <w:jc w:val="center"/>
        <w:rPr>
          <w:b/>
          <w:sz w:val="22"/>
        </w:rPr>
      </w:pPr>
      <w:r>
        <w:rPr>
          <w:b/>
          <w:sz w:val="22"/>
        </w:rPr>
        <w:t>Année universitaire 20</w:t>
      </w:r>
      <w:r w:rsidR="00055FE2">
        <w:rPr>
          <w:b/>
          <w:sz w:val="22"/>
        </w:rPr>
        <w:t>20</w:t>
      </w:r>
      <w:r>
        <w:rPr>
          <w:b/>
          <w:sz w:val="22"/>
        </w:rPr>
        <w:t>-202</w:t>
      </w:r>
      <w:r w:rsidR="00055FE2">
        <w:rPr>
          <w:b/>
          <w:sz w:val="22"/>
        </w:rPr>
        <w:t>1</w:t>
      </w:r>
    </w:p>
    <w:p w14:paraId="678E0A18" w14:textId="77777777" w:rsidR="00506618" w:rsidRDefault="00506618">
      <w:pPr>
        <w:jc w:val="both"/>
        <w:rPr>
          <w:b/>
          <w:sz w:val="22"/>
        </w:rPr>
      </w:pPr>
    </w:p>
    <w:p w14:paraId="4F262797" w14:textId="77777777" w:rsidR="00506618" w:rsidRDefault="00506618">
      <w:pPr>
        <w:jc w:val="both"/>
        <w:rPr>
          <w:b/>
          <w:sz w:val="22"/>
        </w:rPr>
      </w:pPr>
    </w:p>
    <w:p w14:paraId="05C9A2C7" w14:textId="77777777" w:rsidR="00506618" w:rsidRDefault="00506618">
      <w:pPr>
        <w:jc w:val="both"/>
        <w:rPr>
          <w:b/>
          <w:sz w:val="22"/>
        </w:rPr>
      </w:pPr>
    </w:p>
    <w:p w14:paraId="23765462" w14:textId="16491D90" w:rsidR="00506618" w:rsidRDefault="00503C5D">
      <w:pPr>
        <w:jc w:val="both"/>
      </w:pPr>
      <w:r>
        <w:rPr>
          <w:b/>
          <w:sz w:val="22"/>
        </w:rPr>
        <w:t>Session :</w:t>
      </w:r>
      <w:r>
        <w:rPr>
          <w:sz w:val="22"/>
        </w:rPr>
        <w:t xml:space="preserve"> Juin 202</w:t>
      </w:r>
      <w:r w:rsidR="00055FE2">
        <w:rPr>
          <w:sz w:val="22"/>
        </w:rPr>
        <w:t>1</w:t>
      </w:r>
    </w:p>
    <w:p w14:paraId="0D8FEDE6" w14:textId="77777777" w:rsidR="00506618" w:rsidRDefault="00506618">
      <w:pPr>
        <w:jc w:val="both"/>
        <w:rPr>
          <w:sz w:val="22"/>
        </w:rPr>
      </w:pPr>
    </w:p>
    <w:p w14:paraId="65A6502B" w14:textId="77777777" w:rsidR="00506618" w:rsidRDefault="00503C5D">
      <w:pPr>
        <w:jc w:val="both"/>
      </w:pPr>
      <w:r>
        <w:rPr>
          <w:b/>
          <w:sz w:val="22"/>
        </w:rPr>
        <w:t>Année d’étude :</w:t>
      </w:r>
      <w:r>
        <w:rPr>
          <w:sz w:val="22"/>
        </w:rPr>
        <w:t xml:space="preserve"> Première année de Master Droit</w:t>
      </w:r>
    </w:p>
    <w:p w14:paraId="385E63A1" w14:textId="77777777" w:rsidR="00506618" w:rsidRDefault="00506618">
      <w:pPr>
        <w:jc w:val="both"/>
        <w:rPr>
          <w:sz w:val="22"/>
        </w:rPr>
      </w:pPr>
    </w:p>
    <w:p w14:paraId="1820E172" w14:textId="16DF64BA" w:rsidR="00506618" w:rsidRDefault="00503C5D">
      <w:pPr>
        <w:jc w:val="both"/>
      </w:pPr>
      <w:r>
        <w:rPr>
          <w:b/>
          <w:sz w:val="22"/>
        </w:rPr>
        <w:t>Discipline :</w:t>
      </w:r>
      <w:r>
        <w:rPr>
          <w:sz w:val="22"/>
        </w:rPr>
        <w:t xml:space="preserve"> Droit des affaires</w:t>
      </w:r>
      <w:r w:rsidR="00E7387E">
        <w:rPr>
          <w:sz w:val="22"/>
        </w:rPr>
        <w:t xml:space="preserve"> (équipe 1</w:t>
      </w:r>
      <w:r w:rsidR="00207ED5">
        <w:rPr>
          <w:sz w:val="22"/>
        </w:rPr>
        <w:t>)</w:t>
      </w:r>
    </w:p>
    <w:p w14:paraId="4075909B" w14:textId="77777777" w:rsidR="00506618" w:rsidRDefault="00506618">
      <w:pPr>
        <w:jc w:val="both"/>
        <w:rPr>
          <w:sz w:val="22"/>
        </w:rPr>
      </w:pPr>
    </w:p>
    <w:p w14:paraId="79395B01" w14:textId="77777777" w:rsidR="00506618" w:rsidRDefault="00503C5D">
      <w:pPr>
        <w:jc w:val="both"/>
        <w:rPr>
          <w:sz w:val="22"/>
        </w:rPr>
      </w:pPr>
      <w:r>
        <w:rPr>
          <w:sz w:val="22"/>
        </w:rPr>
        <w:tab/>
        <w:t xml:space="preserve">       Unité d’Enseignements Fondamentaux 2</w:t>
      </w:r>
    </w:p>
    <w:p w14:paraId="28652742" w14:textId="77777777" w:rsidR="00506618" w:rsidRDefault="00506618">
      <w:pPr>
        <w:jc w:val="both"/>
        <w:rPr>
          <w:sz w:val="22"/>
        </w:rPr>
      </w:pPr>
    </w:p>
    <w:p w14:paraId="4B9FC60C" w14:textId="77777777" w:rsidR="00506618" w:rsidRDefault="00503C5D">
      <w:pPr>
        <w:jc w:val="both"/>
      </w:pPr>
      <w:r>
        <w:rPr>
          <w:b/>
          <w:sz w:val="22"/>
        </w:rPr>
        <w:t>Titulaire du cours :</w:t>
      </w:r>
      <w:r>
        <w:rPr>
          <w:sz w:val="22"/>
        </w:rPr>
        <w:t xml:space="preserve"> M. Antoine Gaudemet</w:t>
      </w:r>
    </w:p>
    <w:p w14:paraId="4B7DA79B" w14:textId="77777777" w:rsidR="00506618" w:rsidRDefault="00506618">
      <w:pPr>
        <w:jc w:val="both"/>
        <w:rPr>
          <w:b/>
          <w:sz w:val="22"/>
        </w:rPr>
      </w:pPr>
    </w:p>
    <w:p w14:paraId="2E93B8B5" w14:textId="77777777" w:rsidR="00506618" w:rsidRDefault="00506618">
      <w:pPr>
        <w:jc w:val="both"/>
        <w:rPr>
          <w:b/>
        </w:rPr>
      </w:pPr>
    </w:p>
    <w:p w14:paraId="7421B198" w14:textId="77777777" w:rsidR="00506618" w:rsidRDefault="00506618">
      <w:pPr>
        <w:jc w:val="both"/>
        <w:rPr>
          <w:b/>
        </w:rPr>
      </w:pPr>
    </w:p>
    <w:p w14:paraId="4BA71D1D" w14:textId="77777777" w:rsidR="00506618" w:rsidRDefault="00503C5D">
      <w:pPr>
        <w:jc w:val="center"/>
        <w:rPr>
          <w:b/>
        </w:rPr>
      </w:pPr>
      <w:r>
        <w:rPr>
          <w:b/>
        </w:rPr>
        <w:t>*</w:t>
      </w:r>
    </w:p>
    <w:p w14:paraId="6514B5FA" w14:textId="77777777" w:rsidR="00506618" w:rsidRDefault="00506618">
      <w:pPr>
        <w:jc w:val="both"/>
        <w:rPr>
          <w:b/>
          <w:sz w:val="22"/>
        </w:rPr>
      </w:pPr>
    </w:p>
    <w:p w14:paraId="66962CDB" w14:textId="77777777" w:rsidR="00506618" w:rsidRDefault="00506618">
      <w:pPr>
        <w:jc w:val="both"/>
        <w:rPr>
          <w:sz w:val="22"/>
        </w:rPr>
      </w:pPr>
    </w:p>
    <w:p w14:paraId="7E0D89D0" w14:textId="77777777" w:rsidR="00506618" w:rsidRDefault="00503C5D">
      <w:pPr>
        <w:jc w:val="both"/>
        <w:rPr>
          <w:b/>
          <w:sz w:val="22"/>
        </w:rPr>
      </w:pPr>
      <w:r>
        <w:rPr>
          <w:b/>
          <w:sz w:val="22"/>
        </w:rPr>
        <w:t>Les candidats traitent, au choix, l’un des deux sujets suivants.</w:t>
      </w:r>
    </w:p>
    <w:p w14:paraId="686CFA5A" w14:textId="77777777" w:rsidR="00506618" w:rsidRDefault="00506618">
      <w:pPr>
        <w:jc w:val="both"/>
        <w:rPr>
          <w:b/>
          <w:sz w:val="22"/>
        </w:rPr>
      </w:pPr>
    </w:p>
    <w:p w14:paraId="37CD5066" w14:textId="77777777" w:rsidR="00506618" w:rsidRDefault="00503C5D">
      <w:pPr>
        <w:jc w:val="both"/>
      </w:pPr>
      <w:r>
        <w:rPr>
          <w:b/>
          <w:sz w:val="22"/>
        </w:rPr>
        <w:t xml:space="preserve">La durée de l’épreuve est </w:t>
      </w:r>
      <w:r>
        <w:rPr>
          <w:b/>
          <w:sz w:val="22"/>
          <w:u w:val="single"/>
        </w:rPr>
        <w:t>de deux heures</w:t>
      </w:r>
      <w:r>
        <w:rPr>
          <w:b/>
          <w:sz w:val="22"/>
        </w:rPr>
        <w:t>.</w:t>
      </w:r>
    </w:p>
    <w:p w14:paraId="5A921CA4" w14:textId="77777777" w:rsidR="00506618" w:rsidRDefault="00506618">
      <w:pPr>
        <w:jc w:val="both"/>
        <w:rPr>
          <w:b/>
          <w:sz w:val="22"/>
        </w:rPr>
      </w:pPr>
    </w:p>
    <w:p w14:paraId="32619346" w14:textId="77777777" w:rsidR="00506618" w:rsidRDefault="00506618">
      <w:pPr>
        <w:jc w:val="both"/>
        <w:rPr>
          <w:b/>
        </w:rPr>
      </w:pPr>
    </w:p>
    <w:p w14:paraId="645BBA25" w14:textId="77777777" w:rsidR="00506618" w:rsidRDefault="00506618">
      <w:pPr>
        <w:jc w:val="both"/>
        <w:rPr>
          <w:b/>
        </w:rPr>
      </w:pPr>
    </w:p>
    <w:p w14:paraId="2E0115DA" w14:textId="77777777" w:rsidR="00506618" w:rsidRDefault="00503C5D">
      <w:pPr>
        <w:jc w:val="center"/>
        <w:rPr>
          <w:sz w:val="20"/>
        </w:rPr>
      </w:pPr>
      <w:r>
        <w:rPr>
          <w:sz w:val="20"/>
        </w:rPr>
        <w:t>*</w:t>
      </w:r>
    </w:p>
    <w:p w14:paraId="7AB0220F" w14:textId="77777777" w:rsidR="00506618" w:rsidRDefault="00506618">
      <w:pPr>
        <w:jc w:val="both"/>
        <w:rPr>
          <w:sz w:val="22"/>
        </w:rPr>
      </w:pPr>
    </w:p>
    <w:p w14:paraId="52179FCB" w14:textId="77777777" w:rsidR="00506618" w:rsidRDefault="00506618">
      <w:pPr>
        <w:jc w:val="both"/>
        <w:rPr>
          <w:sz w:val="22"/>
        </w:rPr>
      </w:pPr>
    </w:p>
    <w:p w14:paraId="6F5A22CF" w14:textId="77777777" w:rsidR="00506618" w:rsidRDefault="00506618">
      <w:pPr>
        <w:jc w:val="both"/>
        <w:rPr>
          <w:sz w:val="22"/>
        </w:rPr>
      </w:pPr>
    </w:p>
    <w:p w14:paraId="6FF646E6" w14:textId="77777777" w:rsidR="00506618" w:rsidRDefault="00506618">
      <w:pPr>
        <w:jc w:val="both"/>
        <w:rPr>
          <w:sz w:val="22"/>
        </w:rPr>
      </w:pPr>
    </w:p>
    <w:p w14:paraId="560ACE61" w14:textId="77777777" w:rsidR="00506618" w:rsidRDefault="00506618">
      <w:pPr>
        <w:jc w:val="both"/>
        <w:rPr>
          <w:sz w:val="22"/>
        </w:rPr>
      </w:pPr>
    </w:p>
    <w:p w14:paraId="779C3D92" w14:textId="77777777" w:rsidR="00506618" w:rsidRDefault="00506618">
      <w:pPr>
        <w:jc w:val="both"/>
        <w:rPr>
          <w:sz w:val="22"/>
        </w:rPr>
      </w:pPr>
    </w:p>
    <w:p w14:paraId="3FF2FE2E" w14:textId="77777777" w:rsidR="00506618" w:rsidRDefault="00503C5D">
      <w:pPr>
        <w:jc w:val="right"/>
      </w:pPr>
      <w:r>
        <w:rPr>
          <w:sz w:val="22"/>
        </w:rPr>
        <w:tab/>
      </w:r>
      <w:r>
        <w:rPr>
          <w:b/>
          <w:sz w:val="22"/>
        </w:rPr>
        <w:t>T. S. V. P.</w:t>
      </w:r>
      <w:r>
        <w:rPr>
          <w:b/>
          <w:sz w:val="22"/>
        </w:rPr>
        <w:tab/>
      </w:r>
      <w:r>
        <w:br w:type="page"/>
      </w:r>
    </w:p>
    <w:p w14:paraId="7A3684E5" w14:textId="21A64127" w:rsidR="00506618" w:rsidRDefault="00503C5D">
      <w:pPr>
        <w:keepNext/>
        <w:jc w:val="both"/>
      </w:pPr>
      <w:r>
        <w:rPr>
          <w:b/>
          <w:sz w:val="22"/>
          <w:szCs w:val="22"/>
          <w:u w:val="single"/>
        </w:rPr>
        <w:lastRenderedPageBreak/>
        <w:t xml:space="preserve">Premier sujet : </w:t>
      </w:r>
      <w:r w:rsidR="00055FE2">
        <w:rPr>
          <w:b/>
          <w:sz w:val="22"/>
          <w:szCs w:val="22"/>
          <w:u w:val="single"/>
        </w:rPr>
        <w:t>c</w:t>
      </w:r>
      <w:r w:rsidR="003B1154">
        <w:rPr>
          <w:b/>
          <w:sz w:val="22"/>
          <w:szCs w:val="22"/>
          <w:u w:val="single"/>
        </w:rPr>
        <w:t>ommentaire de l’arrêt rendu par la chambre commerciale de la Cour de cassation le 4 juillet 1995</w:t>
      </w:r>
    </w:p>
    <w:p w14:paraId="189541F3" w14:textId="77777777" w:rsidR="00506618" w:rsidRDefault="00506618">
      <w:pPr>
        <w:keepNext/>
        <w:jc w:val="both"/>
        <w:rPr>
          <w:b/>
          <w:sz w:val="22"/>
          <w:szCs w:val="22"/>
          <w:u w:val="single"/>
        </w:rPr>
      </w:pPr>
    </w:p>
    <w:p w14:paraId="5A0A139D" w14:textId="77777777" w:rsidR="003B1154" w:rsidRDefault="00266810" w:rsidP="003B1154">
      <w:pPr>
        <w:keepNext/>
        <w:jc w:val="both"/>
        <w:rPr>
          <w:sz w:val="22"/>
          <w:szCs w:val="22"/>
        </w:rPr>
      </w:pPr>
      <w:r w:rsidRPr="00266810">
        <w:rPr>
          <w:sz w:val="22"/>
          <w:szCs w:val="22"/>
        </w:rPr>
        <w:t xml:space="preserve">Les </w:t>
      </w:r>
      <w:r>
        <w:rPr>
          <w:sz w:val="22"/>
          <w:szCs w:val="22"/>
        </w:rPr>
        <w:t xml:space="preserve">étudiants rédigent </w:t>
      </w:r>
      <w:r>
        <w:rPr>
          <w:sz w:val="22"/>
          <w:szCs w:val="22"/>
          <w:u w:val="single"/>
        </w:rPr>
        <w:t>l’introduction et le plan détaillé</w:t>
      </w:r>
      <w:r>
        <w:rPr>
          <w:sz w:val="22"/>
          <w:szCs w:val="22"/>
        </w:rPr>
        <w:t xml:space="preserve"> du commentaire de l’arrêt reproduit ci-dessous.</w:t>
      </w:r>
    </w:p>
    <w:p w14:paraId="2C8405D4" w14:textId="678D7391" w:rsidR="003B1154" w:rsidRDefault="003B1154" w:rsidP="003B1154">
      <w:pPr>
        <w:keepNext/>
        <w:jc w:val="both"/>
        <w:rPr>
          <w:sz w:val="22"/>
          <w:szCs w:val="22"/>
        </w:rPr>
      </w:pPr>
    </w:p>
    <w:p w14:paraId="38977D75" w14:textId="26B4CE0B" w:rsidR="00765FDC" w:rsidRDefault="00765FDC" w:rsidP="003B1154">
      <w:pPr>
        <w:keepNext/>
        <w:jc w:val="both"/>
        <w:rPr>
          <w:sz w:val="22"/>
          <w:szCs w:val="22"/>
        </w:rPr>
      </w:pPr>
    </w:p>
    <w:p w14:paraId="01513BFD" w14:textId="77777777" w:rsidR="00765FDC" w:rsidRDefault="00765FDC" w:rsidP="003B1154">
      <w:pPr>
        <w:keepNext/>
        <w:jc w:val="both"/>
        <w:rPr>
          <w:sz w:val="22"/>
          <w:szCs w:val="22"/>
        </w:rPr>
      </w:pPr>
    </w:p>
    <w:p w14:paraId="4AE88A2D" w14:textId="77777777" w:rsidR="00F95A46" w:rsidRDefault="003B1154" w:rsidP="003B1154">
      <w:pPr>
        <w:keepNext/>
        <w:jc w:val="both"/>
        <w:rPr>
          <w:rFonts w:ascii="TimesNewRomanPSMT" w:hAnsi="TimesNewRomanPSMT"/>
          <w:sz w:val="22"/>
          <w:szCs w:val="22"/>
        </w:rPr>
      </w:pPr>
      <w:r>
        <w:rPr>
          <w:rFonts w:ascii="TimesNewRomanPSMT" w:hAnsi="TimesNewRomanPSMT"/>
          <w:sz w:val="22"/>
          <w:szCs w:val="22"/>
        </w:rPr>
        <w:t>Attendu, selon l’</w:t>
      </w:r>
      <w:proofErr w:type="spellStart"/>
      <w:r>
        <w:rPr>
          <w:rFonts w:ascii="TimesNewRomanPSMT" w:hAnsi="TimesNewRomanPSMT"/>
          <w:sz w:val="22"/>
          <w:szCs w:val="22"/>
        </w:rPr>
        <w:t>arrêt</w:t>
      </w:r>
      <w:proofErr w:type="spellEnd"/>
      <w:r>
        <w:rPr>
          <w:rFonts w:ascii="TimesNewRomanPSMT" w:hAnsi="TimesNewRomanPSMT"/>
          <w:sz w:val="22"/>
          <w:szCs w:val="22"/>
        </w:rPr>
        <w:t xml:space="preserve"> critiqué, que la </w:t>
      </w:r>
      <w:proofErr w:type="spellStart"/>
      <w:r>
        <w:rPr>
          <w:rFonts w:ascii="TimesNewRomanPSMT" w:hAnsi="TimesNewRomanPSMT"/>
          <w:sz w:val="22"/>
          <w:szCs w:val="22"/>
        </w:rPr>
        <w:t>sociéte</w:t>
      </w:r>
      <w:proofErr w:type="spellEnd"/>
      <w:r>
        <w:rPr>
          <w:rFonts w:ascii="TimesNewRomanPSMT" w:hAnsi="TimesNewRomanPSMT"/>
          <w:sz w:val="22"/>
          <w:szCs w:val="22"/>
        </w:rPr>
        <w:t xml:space="preserve">́ MAT a </w:t>
      </w:r>
      <w:proofErr w:type="spellStart"/>
      <w:r>
        <w:rPr>
          <w:rFonts w:ascii="TimesNewRomanPSMT" w:hAnsi="TimesNewRomanPSMT"/>
          <w:sz w:val="22"/>
          <w:szCs w:val="22"/>
        </w:rPr>
        <w:t>céde</w:t>
      </w:r>
      <w:proofErr w:type="spellEnd"/>
      <w:r>
        <w:rPr>
          <w:rFonts w:ascii="TimesNewRomanPSMT" w:hAnsi="TimesNewRomanPSMT"/>
          <w:sz w:val="22"/>
          <w:szCs w:val="22"/>
        </w:rPr>
        <w:t xml:space="preserve">́ à la </w:t>
      </w:r>
      <w:proofErr w:type="spellStart"/>
      <w:r>
        <w:rPr>
          <w:rFonts w:ascii="TimesNewRomanPSMT" w:hAnsi="TimesNewRomanPSMT"/>
          <w:sz w:val="22"/>
          <w:szCs w:val="22"/>
        </w:rPr>
        <w:t>Sociéte</w:t>
      </w:r>
      <w:proofErr w:type="spellEnd"/>
      <w:r>
        <w:rPr>
          <w:rFonts w:ascii="TimesNewRomanPSMT" w:hAnsi="TimesNewRomanPSMT"/>
          <w:sz w:val="22"/>
          <w:szCs w:val="22"/>
        </w:rPr>
        <w:t xml:space="preserve">́ de banque occidentale (la SDBO), selon les </w:t>
      </w:r>
      <w:proofErr w:type="spellStart"/>
      <w:r>
        <w:rPr>
          <w:rFonts w:ascii="TimesNewRomanPSMT" w:hAnsi="TimesNewRomanPSMT"/>
          <w:sz w:val="22"/>
          <w:szCs w:val="22"/>
        </w:rPr>
        <w:t>modalités</w:t>
      </w:r>
      <w:proofErr w:type="spellEnd"/>
      <w:r>
        <w:rPr>
          <w:rFonts w:ascii="TimesNewRomanPSMT" w:hAnsi="TimesNewRomanPSMT"/>
          <w:sz w:val="22"/>
          <w:szCs w:val="22"/>
        </w:rPr>
        <w:t xml:space="preserve"> de la loi du 2 janvier 1981, trois </w:t>
      </w:r>
      <w:proofErr w:type="spellStart"/>
      <w:r>
        <w:rPr>
          <w:rFonts w:ascii="TimesNewRomanPSMT" w:hAnsi="TimesNewRomanPSMT"/>
          <w:sz w:val="22"/>
          <w:szCs w:val="22"/>
        </w:rPr>
        <w:t>créances</w:t>
      </w:r>
      <w:proofErr w:type="spellEnd"/>
      <w:r>
        <w:rPr>
          <w:rFonts w:ascii="TimesNewRomanPSMT" w:hAnsi="TimesNewRomanPSMT"/>
          <w:sz w:val="22"/>
          <w:szCs w:val="22"/>
        </w:rPr>
        <w:t xml:space="preserve">, dont une sur le CHU Bichat, une autre sur l’Institut national de l’audiovisuel (INA), et une </w:t>
      </w:r>
      <w:proofErr w:type="spellStart"/>
      <w:r>
        <w:rPr>
          <w:rFonts w:ascii="TimesNewRomanPSMT" w:hAnsi="TimesNewRomanPSMT"/>
          <w:sz w:val="22"/>
          <w:szCs w:val="22"/>
        </w:rPr>
        <w:t>troisième</w:t>
      </w:r>
      <w:proofErr w:type="spellEnd"/>
      <w:r>
        <w:rPr>
          <w:rFonts w:ascii="TimesNewRomanPSMT" w:hAnsi="TimesNewRomanPSMT"/>
          <w:sz w:val="22"/>
          <w:szCs w:val="22"/>
        </w:rPr>
        <w:t xml:space="preserve"> sur la Marine nationale ; que cette </w:t>
      </w:r>
      <w:proofErr w:type="spellStart"/>
      <w:r>
        <w:rPr>
          <w:rFonts w:ascii="TimesNewRomanPSMT" w:hAnsi="TimesNewRomanPSMT"/>
          <w:sz w:val="22"/>
          <w:szCs w:val="22"/>
        </w:rPr>
        <w:t>sociéte</w:t>
      </w:r>
      <w:proofErr w:type="spellEnd"/>
      <w:r>
        <w:rPr>
          <w:rFonts w:ascii="TimesNewRomanPSMT" w:hAnsi="TimesNewRomanPSMT"/>
          <w:sz w:val="22"/>
          <w:szCs w:val="22"/>
        </w:rPr>
        <w:t xml:space="preserve">́ a </w:t>
      </w:r>
      <w:proofErr w:type="spellStart"/>
      <w:r>
        <w:rPr>
          <w:rFonts w:ascii="TimesNewRomanPSMT" w:hAnsi="TimesNewRomanPSMT"/>
          <w:sz w:val="22"/>
          <w:szCs w:val="22"/>
        </w:rPr>
        <w:t>éte</w:t>
      </w:r>
      <w:proofErr w:type="spellEnd"/>
      <w:r>
        <w:rPr>
          <w:rFonts w:ascii="TimesNewRomanPSMT" w:hAnsi="TimesNewRomanPSMT"/>
          <w:sz w:val="22"/>
          <w:szCs w:val="22"/>
        </w:rPr>
        <w:t xml:space="preserve">́ mise en redressement judiciaire ; que la SDBO a alors </w:t>
      </w:r>
      <w:proofErr w:type="spellStart"/>
      <w:r>
        <w:rPr>
          <w:rFonts w:ascii="TimesNewRomanPSMT" w:hAnsi="TimesNewRomanPSMT"/>
          <w:sz w:val="22"/>
          <w:szCs w:val="22"/>
        </w:rPr>
        <w:t>réclame</w:t>
      </w:r>
      <w:proofErr w:type="spellEnd"/>
      <w:r>
        <w:rPr>
          <w:rFonts w:ascii="TimesNewRomanPSMT" w:hAnsi="TimesNewRomanPSMT"/>
          <w:sz w:val="22"/>
          <w:szCs w:val="22"/>
        </w:rPr>
        <w:t xml:space="preserve">́ le paiement du montant des </w:t>
      </w:r>
      <w:proofErr w:type="spellStart"/>
      <w:r>
        <w:rPr>
          <w:rFonts w:ascii="TimesNewRomanPSMT" w:hAnsi="TimesNewRomanPSMT"/>
          <w:sz w:val="22"/>
          <w:szCs w:val="22"/>
        </w:rPr>
        <w:t>créances</w:t>
      </w:r>
      <w:proofErr w:type="spellEnd"/>
      <w:r>
        <w:rPr>
          <w:rFonts w:ascii="TimesNewRomanPSMT" w:hAnsi="TimesNewRomanPSMT"/>
          <w:sz w:val="22"/>
          <w:szCs w:val="22"/>
        </w:rPr>
        <w:t xml:space="preserve"> au </w:t>
      </w:r>
      <w:proofErr w:type="spellStart"/>
      <w:r>
        <w:rPr>
          <w:rFonts w:ascii="TimesNewRomanPSMT" w:hAnsi="TimesNewRomanPSMT"/>
          <w:sz w:val="22"/>
          <w:szCs w:val="22"/>
        </w:rPr>
        <w:t>Crédit</w:t>
      </w:r>
      <w:proofErr w:type="spellEnd"/>
      <w:r>
        <w:rPr>
          <w:rFonts w:ascii="TimesNewRomanPSMT" w:hAnsi="TimesNewRomanPSMT"/>
          <w:sz w:val="22"/>
          <w:szCs w:val="22"/>
        </w:rPr>
        <w:t xml:space="preserve"> commercial de France (le CCF) qui avait inscrit au compte courant de la </w:t>
      </w:r>
      <w:proofErr w:type="spellStart"/>
      <w:r>
        <w:rPr>
          <w:rFonts w:ascii="TimesNewRomanPSMT" w:hAnsi="TimesNewRomanPSMT"/>
          <w:sz w:val="22"/>
          <w:szCs w:val="22"/>
        </w:rPr>
        <w:t>sociéte</w:t>
      </w:r>
      <w:proofErr w:type="spellEnd"/>
      <w:r>
        <w:rPr>
          <w:rFonts w:ascii="TimesNewRomanPSMT" w:hAnsi="TimesNewRomanPSMT"/>
          <w:sz w:val="22"/>
          <w:szCs w:val="22"/>
        </w:rPr>
        <w:t xml:space="preserve">́ MAT, les sommes </w:t>
      </w:r>
      <w:proofErr w:type="spellStart"/>
      <w:r>
        <w:rPr>
          <w:rFonts w:ascii="TimesNewRomanPSMT" w:hAnsi="TimesNewRomanPSMT"/>
          <w:sz w:val="22"/>
          <w:szCs w:val="22"/>
        </w:rPr>
        <w:t>reçues</w:t>
      </w:r>
      <w:proofErr w:type="spellEnd"/>
      <w:r>
        <w:rPr>
          <w:rFonts w:ascii="TimesNewRomanPSMT" w:hAnsi="TimesNewRomanPSMT"/>
          <w:sz w:val="22"/>
          <w:szCs w:val="22"/>
        </w:rPr>
        <w:t xml:space="preserve"> des trois </w:t>
      </w:r>
      <w:proofErr w:type="spellStart"/>
      <w:r>
        <w:rPr>
          <w:rFonts w:ascii="TimesNewRomanPSMT" w:hAnsi="TimesNewRomanPSMT"/>
          <w:sz w:val="22"/>
          <w:szCs w:val="22"/>
        </w:rPr>
        <w:t>débiteurs</w:t>
      </w:r>
      <w:proofErr w:type="spellEnd"/>
      <w:r>
        <w:rPr>
          <w:rFonts w:ascii="TimesNewRomanPSMT" w:hAnsi="TimesNewRomanPSMT"/>
          <w:sz w:val="22"/>
          <w:szCs w:val="22"/>
        </w:rPr>
        <w:t xml:space="preserve"> ; que la cour d’appel, ayant par ailleurs </w:t>
      </w:r>
      <w:proofErr w:type="spellStart"/>
      <w:r>
        <w:rPr>
          <w:rFonts w:ascii="TimesNewRomanPSMT" w:hAnsi="TimesNewRomanPSMT"/>
          <w:sz w:val="22"/>
          <w:szCs w:val="22"/>
        </w:rPr>
        <w:t>décide</w:t>
      </w:r>
      <w:proofErr w:type="spellEnd"/>
      <w:r>
        <w:rPr>
          <w:rFonts w:ascii="TimesNewRomanPSMT" w:hAnsi="TimesNewRomanPSMT"/>
          <w:sz w:val="22"/>
          <w:szCs w:val="22"/>
        </w:rPr>
        <w:t xml:space="preserve">́ que le CCF ne prouvait pas qu’il avait acquis, avant la SDBO, les </w:t>
      </w:r>
      <w:proofErr w:type="spellStart"/>
      <w:r>
        <w:rPr>
          <w:rFonts w:ascii="TimesNewRomanPSMT" w:hAnsi="TimesNewRomanPSMT"/>
          <w:sz w:val="22"/>
          <w:szCs w:val="22"/>
        </w:rPr>
        <w:t>créances</w:t>
      </w:r>
      <w:proofErr w:type="spellEnd"/>
      <w:r>
        <w:rPr>
          <w:rFonts w:ascii="TimesNewRomanPSMT" w:hAnsi="TimesNewRomanPSMT"/>
          <w:sz w:val="22"/>
          <w:szCs w:val="22"/>
        </w:rPr>
        <w:t xml:space="preserve"> sur le CHU Bichat et l’INA, a accueilli la demande de la SDBO ; </w:t>
      </w:r>
    </w:p>
    <w:p w14:paraId="4EA01074" w14:textId="77777777" w:rsidR="00F95A46" w:rsidRDefault="00F95A46" w:rsidP="003B1154">
      <w:pPr>
        <w:keepNext/>
        <w:jc w:val="both"/>
        <w:rPr>
          <w:rFonts w:ascii="TimesNewRomanPSMT" w:hAnsi="TimesNewRomanPSMT"/>
          <w:sz w:val="22"/>
          <w:szCs w:val="22"/>
        </w:rPr>
      </w:pPr>
    </w:p>
    <w:p w14:paraId="68A75D8C" w14:textId="3701AD56" w:rsidR="003B1154" w:rsidRDefault="003B1154" w:rsidP="003B1154">
      <w:pPr>
        <w:keepNext/>
        <w:jc w:val="both"/>
        <w:rPr>
          <w:rFonts w:ascii="TimesNewRomanPSMT" w:hAnsi="TimesNewRomanPSMT"/>
          <w:sz w:val="22"/>
          <w:szCs w:val="22"/>
        </w:rPr>
      </w:pPr>
      <w:r>
        <w:rPr>
          <w:rFonts w:ascii="TimesNewRomanPSMT" w:hAnsi="TimesNewRomanPSMT"/>
          <w:sz w:val="22"/>
          <w:szCs w:val="22"/>
        </w:rPr>
        <w:t>Sur le second moyen, pris en ses deux branches :</w:t>
      </w:r>
      <w:r w:rsidR="00765FDC">
        <w:rPr>
          <w:rFonts w:ascii="TimesNewRomanPSMT" w:hAnsi="TimesNewRomanPSMT"/>
          <w:sz w:val="22"/>
          <w:szCs w:val="22"/>
        </w:rPr>
        <w:t xml:space="preserve"> </w:t>
      </w:r>
      <w:r w:rsidR="00F95A46">
        <w:rPr>
          <w:rFonts w:ascii="TimesNewRomanPSMT" w:hAnsi="TimesNewRomanPSMT"/>
          <w:sz w:val="22"/>
          <w:szCs w:val="22"/>
        </w:rPr>
        <w:t>(…)</w:t>
      </w:r>
    </w:p>
    <w:p w14:paraId="1CF74B4D" w14:textId="77777777" w:rsidR="003B1154" w:rsidRDefault="003B1154" w:rsidP="003B1154">
      <w:pPr>
        <w:jc w:val="both"/>
        <w:rPr>
          <w:rFonts w:ascii="TimesNewRomanPSMT" w:hAnsi="TimesNewRomanPSMT"/>
          <w:sz w:val="22"/>
          <w:szCs w:val="22"/>
        </w:rPr>
      </w:pPr>
    </w:p>
    <w:p w14:paraId="7FC3DAFC" w14:textId="317AC039" w:rsidR="003B1154" w:rsidRDefault="003B1154" w:rsidP="003B1154">
      <w:pPr>
        <w:jc w:val="both"/>
        <w:rPr>
          <w:rFonts w:ascii="TimesNewRomanPSMT" w:hAnsi="TimesNewRomanPSMT"/>
          <w:sz w:val="22"/>
          <w:szCs w:val="22"/>
        </w:rPr>
      </w:pPr>
      <w:r>
        <w:rPr>
          <w:rFonts w:ascii="TimesNewRomanPSMT" w:hAnsi="TimesNewRomanPSMT"/>
          <w:sz w:val="22"/>
          <w:szCs w:val="22"/>
        </w:rPr>
        <w:t>Mais sur le premier moyen, pris en sa seconde branche :</w:t>
      </w:r>
    </w:p>
    <w:p w14:paraId="12EE87D1" w14:textId="77777777" w:rsidR="003B1154" w:rsidRDefault="003B1154" w:rsidP="003B1154">
      <w:pPr>
        <w:jc w:val="both"/>
        <w:rPr>
          <w:rFonts w:ascii="TimesNewRomanPSMT" w:hAnsi="TimesNewRomanPSMT"/>
          <w:sz w:val="22"/>
          <w:szCs w:val="22"/>
        </w:rPr>
      </w:pPr>
    </w:p>
    <w:p w14:paraId="62C4804E" w14:textId="77777777" w:rsidR="003B1154" w:rsidRDefault="003B1154" w:rsidP="003B1154">
      <w:pPr>
        <w:jc w:val="both"/>
        <w:rPr>
          <w:rFonts w:ascii="TimesNewRomanPSMT" w:hAnsi="TimesNewRomanPSMT"/>
          <w:sz w:val="22"/>
          <w:szCs w:val="22"/>
        </w:rPr>
      </w:pPr>
      <w:r>
        <w:rPr>
          <w:rFonts w:ascii="TimesNewRomanPSMT" w:hAnsi="TimesNewRomanPSMT"/>
          <w:sz w:val="22"/>
          <w:szCs w:val="22"/>
        </w:rPr>
        <w:t>Vu les articles 1937 et 1993 du Code civil ;</w:t>
      </w:r>
    </w:p>
    <w:p w14:paraId="3A8960BF" w14:textId="77777777" w:rsidR="003B1154" w:rsidRDefault="003B1154" w:rsidP="003B1154">
      <w:pPr>
        <w:jc w:val="both"/>
        <w:rPr>
          <w:rFonts w:ascii="TimesNewRomanPSMT" w:hAnsi="TimesNewRomanPSMT"/>
          <w:sz w:val="22"/>
          <w:szCs w:val="22"/>
        </w:rPr>
      </w:pPr>
    </w:p>
    <w:p w14:paraId="51E923B2" w14:textId="5CFF826F" w:rsidR="003B1154" w:rsidRDefault="003B1154" w:rsidP="003B1154">
      <w:pPr>
        <w:jc w:val="both"/>
        <w:rPr>
          <w:rFonts w:ascii="TimesNewRomanPSMT" w:hAnsi="TimesNewRomanPSMT"/>
          <w:sz w:val="22"/>
          <w:szCs w:val="22"/>
        </w:rPr>
      </w:pPr>
      <w:r>
        <w:rPr>
          <w:rFonts w:ascii="TimesNewRomanPSMT" w:hAnsi="TimesNewRomanPSMT"/>
          <w:sz w:val="22"/>
          <w:szCs w:val="22"/>
        </w:rPr>
        <w:t xml:space="preserve">Attendu que, pour le condamner à restituer à la SDBO les sommes </w:t>
      </w:r>
      <w:proofErr w:type="spellStart"/>
      <w:r>
        <w:rPr>
          <w:rFonts w:ascii="TimesNewRomanPSMT" w:hAnsi="TimesNewRomanPSMT"/>
          <w:sz w:val="22"/>
          <w:szCs w:val="22"/>
        </w:rPr>
        <w:t>payées</w:t>
      </w:r>
      <w:proofErr w:type="spellEnd"/>
      <w:r>
        <w:rPr>
          <w:rFonts w:ascii="TimesNewRomanPSMT" w:hAnsi="TimesNewRomanPSMT"/>
          <w:sz w:val="22"/>
          <w:szCs w:val="22"/>
        </w:rPr>
        <w:t xml:space="preserve"> par les trois </w:t>
      </w:r>
      <w:proofErr w:type="spellStart"/>
      <w:r>
        <w:rPr>
          <w:rFonts w:ascii="TimesNewRomanPSMT" w:hAnsi="TimesNewRomanPSMT"/>
          <w:sz w:val="22"/>
          <w:szCs w:val="22"/>
        </w:rPr>
        <w:t>débiteurs</w:t>
      </w:r>
      <w:proofErr w:type="spellEnd"/>
      <w:r>
        <w:rPr>
          <w:rFonts w:ascii="TimesNewRomanPSMT" w:hAnsi="TimesNewRomanPSMT"/>
          <w:sz w:val="22"/>
          <w:szCs w:val="22"/>
        </w:rPr>
        <w:t xml:space="preserve"> </w:t>
      </w:r>
      <w:proofErr w:type="spellStart"/>
      <w:r>
        <w:rPr>
          <w:rFonts w:ascii="TimesNewRomanPSMT" w:hAnsi="TimesNewRomanPSMT"/>
          <w:sz w:val="22"/>
          <w:szCs w:val="22"/>
        </w:rPr>
        <w:t>cédés</w:t>
      </w:r>
      <w:proofErr w:type="spellEnd"/>
      <w:r>
        <w:rPr>
          <w:rFonts w:ascii="TimesNewRomanPSMT" w:hAnsi="TimesNewRomanPSMT"/>
          <w:sz w:val="22"/>
          <w:szCs w:val="22"/>
        </w:rPr>
        <w:t>, l’</w:t>
      </w:r>
      <w:proofErr w:type="spellStart"/>
      <w:r>
        <w:rPr>
          <w:rFonts w:ascii="TimesNewRomanPSMT" w:hAnsi="TimesNewRomanPSMT"/>
          <w:sz w:val="22"/>
          <w:szCs w:val="22"/>
        </w:rPr>
        <w:t>arrêt</w:t>
      </w:r>
      <w:proofErr w:type="spellEnd"/>
      <w:r>
        <w:rPr>
          <w:rFonts w:ascii="TimesNewRomanPSMT" w:hAnsi="TimesNewRomanPSMT"/>
          <w:sz w:val="22"/>
          <w:szCs w:val="22"/>
        </w:rPr>
        <w:t xml:space="preserve"> retient que le CCF, banque </w:t>
      </w:r>
      <w:proofErr w:type="spellStart"/>
      <w:r>
        <w:rPr>
          <w:rFonts w:ascii="TimesNewRomanPSMT" w:hAnsi="TimesNewRomanPSMT"/>
          <w:sz w:val="22"/>
          <w:szCs w:val="22"/>
        </w:rPr>
        <w:t>réceptionnaire</w:t>
      </w:r>
      <w:proofErr w:type="spellEnd"/>
      <w:r>
        <w:rPr>
          <w:rFonts w:ascii="TimesNewRomanPSMT" w:hAnsi="TimesNewRomanPSMT"/>
          <w:sz w:val="22"/>
          <w:szCs w:val="22"/>
        </w:rPr>
        <w:t xml:space="preserve"> de ces paiements, </w:t>
      </w:r>
      <w:proofErr w:type="spellStart"/>
      <w:r>
        <w:rPr>
          <w:rFonts w:ascii="TimesNewRomanPSMT" w:hAnsi="TimesNewRomanPSMT"/>
          <w:sz w:val="22"/>
          <w:szCs w:val="22"/>
        </w:rPr>
        <w:t>versés</w:t>
      </w:r>
      <w:proofErr w:type="spellEnd"/>
      <w:r>
        <w:rPr>
          <w:rFonts w:ascii="TimesNewRomanPSMT" w:hAnsi="TimesNewRomanPSMT"/>
          <w:sz w:val="22"/>
          <w:szCs w:val="22"/>
        </w:rPr>
        <w:t xml:space="preserve"> au </w:t>
      </w:r>
      <w:proofErr w:type="spellStart"/>
      <w:r>
        <w:rPr>
          <w:rFonts w:ascii="TimesNewRomanPSMT" w:hAnsi="TimesNewRomanPSMT"/>
          <w:sz w:val="22"/>
          <w:szCs w:val="22"/>
        </w:rPr>
        <w:t>crédit</w:t>
      </w:r>
      <w:proofErr w:type="spellEnd"/>
      <w:r>
        <w:rPr>
          <w:rFonts w:ascii="TimesNewRomanPSMT" w:hAnsi="TimesNewRomanPSMT"/>
          <w:sz w:val="22"/>
          <w:szCs w:val="22"/>
        </w:rPr>
        <w:t xml:space="preserve"> du compte courant de la </w:t>
      </w:r>
      <w:proofErr w:type="spellStart"/>
      <w:r>
        <w:rPr>
          <w:rFonts w:ascii="TimesNewRomanPSMT" w:hAnsi="TimesNewRomanPSMT"/>
          <w:sz w:val="22"/>
          <w:szCs w:val="22"/>
        </w:rPr>
        <w:t>sociéte</w:t>
      </w:r>
      <w:proofErr w:type="spellEnd"/>
      <w:r>
        <w:rPr>
          <w:rFonts w:ascii="TimesNewRomanPSMT" w:hAnsi="TimesNewRomanPSMT"/>
          <w:sz w:val="22"/>
          <w:szCs w:val="22"/>
        </w:rPr>
        <w:t>́ MAT dans ses livres, ne peut opposer à la SDBO le principe de l’</w:t>
      </w:r>
      <w:proofErr w:type="spellStart"/>
      <w:r>
        <w:rPr>
          <w:rFonts w:ascii="TimesNewRomanPSMT" w:hAnsi="TimesNewRomanPSMT"/>
          <w:sz w:val="22"/>
          <w:szCs w:val="22"/>
        </w:rPr>
        <w:t>indivisibilite</w:t>
      </w:r>
      <w:proofErr w:type="spellEnd"/>
      <w:r>
        <w:rPr>
          <w:rFonts w:ascii="TimesNewRomanPSMT" w:hAnsi="TimesNewRomanPSMT"/>
          <w:sz w:val="22"/>
          <w:szCs w:val="22"/>
        </w:rPr>
        <w:t xml:space="preserve">́ du compte courant, ni son </w:t>
      </w:r>
      <w:proofErr w:type="spellStart"/>
      <w:r>
        <w:rPr>
          <w:rFonts w:ascii="TimesNewRomanPSMT" w:hAnsi="TimesNewRomanPSMT"/>
          <w:sz w:val="22"/>
          <w:szCs w:val="22"/>
        </w:rPr>
        <w:t>rôle</w:t>
      </w:r>
      <w:proofErr w:type="spellEnd"/>
      <w:r>
        <w:rPr>
          <w:rFonts w:ascii="TimesNewRomanPSMT" w:hAnsi="TimesNewRomanPSMT"/>
          <w:sz w:val="22"/>
          <w:szCs w:val="22"/>
        </w:rPr>
        <w:t xml:space="preserve"> de simple "teneur de livre", et qu’il ne peut s’opposer à la restitution des fonds acquis par celle-ci, en soutenant que les sommes </w:t>
      </w:r>
      <w:proofErr w:type="spellStart"/>
      <w:r>
        <w:rPr>
          <w:rFonts w:ascii="TimesNewRomanPSMT" w:hAnsi="TimesNewRomanPSMT"/>
          <w:sz w:val="22"/>
          <w:szCs w:val="22"/>
        </w:rPr>
        <w:t>reçues</w:t>
      </w:r>
      <w:proofErr w:type="spellEnd"/>
      <w:r>
        <w:rPr>
          <w:rFonts w:ascii="TimesNewRomanPSMT" w:hAnsi="TimesNewRomanPSMT"/>
          <w:sz w:val="22"/>
          <w:szCs w:val="22"/>
        </w:rPr>
        <w:t xml:space="preserve">, inscrites au </w:t>
      </w:r>
      <w:proofErr w:type="spellStart"/>
      <w:r>
        <w:rPr>
          <w:rFonts w:ascii="TimesNewRomanPSMT" w:hAnsi="TimesNewRomanPSMT"/>
          <w:sz w:val="22"/>
          <w:szCs w:val="22"/>
        </w:rPr>
        <w:t>crédit</w:t>
      </w:r>
      <w:proofErr w:type="spellEnd"/>
      <w:r>
        <w:rPr>
          <w:rFonts w:ascii="TimesNewRomanPSMT" w:hAnsi="TimesNewRomanPSMT"/>
          <w:sz w:val="22"/>
          <w:szCs w:val="22"/>
        </w:rPr>
        <w:t xml:space="preserve"> du compte courant de la </w:t>
      </w:r>
      <w:proofErr w:type="spellStart"/>
      <w:r>
        <w:rPr>
          <w:rFonts w:ascii="TimesNewRomanPSMT" w:hAnsi="TimesNewRomanPSMT"/>
          <w:sz w:val="22"/>
          <w:szCs w:val="22"/>
        </w:rPr>
        <w:t>sociéte</w:t>
      </w:r>
      <w:proofErr w:type="spellEnd"/>
      <w:r>
        <w:rPr>
          <w:rFonts w:ascii="TimesNewRomanPSMT" w:hAnsi="TimesNewRomanPSMT"/>
          <w:sz w:val="22"/>
          <w:szCs w:val="22"/>
        </w:rPr>
        <w:t xml:space="preserve">́ MAT en constituent </w:t>
      </w:r>
      <w:proofErr w:type="spellStart"/>
      <w:r>
        <w:rPr>
          <w:rFonts w:ascii="TimesNewRomanPSMT" w:hAnsi="TimesNewRomanPSMT"/>
          <w:sz w:val="22"/>
          <w:szCs w:val="22"/>
        </w:rPr>
        <w:t>désormais</w:t>
      </w:r>
      <w:proofErr w:type="spellEnd"/>
      <w:r>
        <w:rPr>
          <w:rFonts w:ascii="TimesNewRomanPSMT" w:hAnsi="TimesNewRomanPSMT"/>
          <w:sz w:val="22"/>
          <w:szCs w:val="22"/>
        </w:rPr>
        <w:t xml:space="preserve"> des articles formant un tout indivisible, alors que cette </w:t>
      </w:r>
      <w:proofErr w:type="spellStart"/>
      <w:r>
        <w:rPr>
          <w:rFonts w:ascii="TimesNewRomanPSMT" w:hAnsi="TimesNewRomanPSMT"/>
          <w:sz w:val="22"/>
          <w:szCs w:val="22"/>
        </w:rPr>
        <w:t>règle</w:t>
      </w:r>
      <w:proofErr w:type="spellEnd"/>
      <w:r>
        <w:rPr>
          <w:rFonts w:ascii="TimesNewRomanPSMT" w:hAnsi="TimesNewRomanPSMT"/>
          <w:sz w:val="22"/>
          <w:szCs w:val="22"/>
        </w:rPr>
        <w:t xml:space="preserve">, qui </w:t>
      </w:r>
      <w:proofErr w:type="spellStart"/>
      <w:r>
        <w:rPr>
          <w:rFonts w:ascii="TimesNewRomanPSMT" w:hAnsi="TimesNewRomanPSMT"/>
          <w:sz w:val="22"/>
          <w:szCs w:val="22"/>
        </w:rPr>
        <w:t>régit</w:t>
      </w:r>
      <w:proofErr w:type="spellEnd"/>
      <w:r>
        <w:rPr>
          <w:rFonts w:ascii="TimesNewRomanPSMT" w:hAnsi="TimesNewRomanPSMT"/>
          <w:sz w:val="22"/>
          <w:szCs w:val="22"/>
        </w:rPr>
        <w:t xml:space="preserve"> les rapports des parties à la convention de compte courant, ne s’oppose nullement </w:t>
      </w:r>
      <w:proofErr w:type="spellStart"/>
      <w:r>
        <w:rPr>
          <w:rFonts w:ascii="TimesNewRomanPSMT" w:hAnsi="TimesNewRomanPSMT"/>
          <w:sz w:val="22"/>
          <w:szCs w:val="22"/>
        </w:rPr>
        <w:t>a</w:t>
      </w:r>
      <w:proofErr w:type="spellEnd"/>
      <w:r>
        <w:rPr>
          <w:rFonts w:ascii="TimesNewRomanPSMT" w:hAnsi="TimesNewRomanPSMT"/>
          <w:sz w:val="22"/>
          <w:szCs w:val="22"/>
        </w:rPr>
        <w:t xml:space="preserve">̀ ce que des tiers, qui n’ont pas </w:t>
      </w:r>
      <w:proofErr w:type="spellStart"/>
      <w:r>
        <w:rPr>
          <w:rFonts w:ascii="TimesNewRomanPSMT" w:hAnsi="TimesNewRomanPSMT"/>
          <w:sz w:val="22"/>
          <w:szCs w:val="22"/>
        </w:rPr>
        <w:t>participe</w:t>
      </w:r>
      <w:proofErr w:type="spellEnd"/>
      <w:r>
        <w:rPr>
          <w:rFonts w:ascii="TimesNewRomanPSMT" w:hAnsi="TimesNewRomanPSMT"/>
          <w:sz w:val="22"/>
          <w:szCs w:val="22"/>
        </w:rPr>
        <w:t xml:space="preserve">́ à ce contrat, </w:t>
      </w:r>
      <w:proofErr w:type="spellStart"/>
      <w:r>
        <w:rPr>
          <w:rFonts w:ascii="TimesNewRomanPSMT" w:hAnsi="TimesNewRomanPSMT"/>
          <w:sz w:val="22"/>
          <w:szCs w:val="22"/>
        </w:rPr>
        <w:t>établissent</w:t>
      </w:r>
      <w:proofErr w:type="spellEnd"/>
      <w:r>
        <w:rPr>
          <w:rFonts w:ascii="TimesNewRomanPSMT" w:hAnsi="TimesNewRomanPSMT"/>
          <w:sz w:val="22"/>
          <w:szCs w:val="22"/>
        </w:rPr>
        <w:t xml:space="preserve"> qu’un virement a </w:t>
      </w:r>
      <w:proofErr w:type="spellStart"/>
      <w:r>
        <w:rPr>
          <w:rFonts w:ascii="TimesNewRomanPSMT" w:hAnsi="TimesNewRomanPSMT"/>
          <w:sz w:val="22"/>
          <w:szCs w:val="22"/>
        </w:rPr>
        <w:t>éte</w:t>
      </w:r>
      <w:proofErr w:type="spellEnd"/>
      <w:r>
        <w:rPr>
          <w:rFonts w:ascii="TimesNewRomanPSMT" w:hAnsi="TimesNewRomanPSMT"/>
          <w:sz w:val="22"/>
          <w:szCs w:val="22"/>
        </w:rPr>
        <w:t xml:space="preserve">́ </w:t>
      </w:r>
      <w:proofErr w:type="spellStart"/>
      <w:r>
        <w:rPr>
          <w:rFonts w:ascii="TimesNewRomanPSMT" w:hAnsi="TimesNewRomanPSMT"/>
          <w:sz w:val="22"/>
          <w:szCs w:val="22"/>
        </w:rPr>
        <w:t>opére</w:t>
      </w:r>
      <w:proofErr w:type="spellEnd"/>
      <w:r>
        <w:rPr>
          <w:rFonts w:ascii="TimesNewRomanPSMT" w:hAnsi="TimesNewRomanPSMT"/>
          <w:sz w:val="22"/>
          <w:szCs w:val="22"/>
        </w:rPr>
        <w:t xml:space="preserve">́ à leur </w:t>
      </w:r>
      <w:proofErr w:type="spellStart"/>
      <w:r>
        <w:rPr>
          <w:rFonts w:ascii="TimesNewRomanPSMT" w:hAnsi="TimesNewRomanPSMT"/>
          <w:sz w:val="22"/>
          <w:szCs w:val="22"/>
        </w:rPr>
        <w:t>préjudice</w:t>
      </w:r>
      <w:proofErr w:type="spellEnd"/>
      <w:r>
        <w:rPr>
          <w:rFonts w:ascii="TimesNewRomanPSMT" w:hAnsi="TimesNewRomanPSMT"/>
          <w:sz w:val="22"/>
          <w:szCs w:val="22"/>
        </w:rPr>
        <w:t> ;</w:t>
      </w:r>
    </w:p>
    <w:p w14:paraId="65E6A5A2" w14:textId="77777777" w:rsidR="003B1154" w:rsidRDefault="003B1154" w:rsidP="003B1154">
      <w:pPr>
        <w:jc w:val="both"/>
        <w:rPr>
          <w:rFonts w:ascii="TimesNewRomanPSMT" w:hAnsi="TimesNewRomanPSMT"/>
          <w:sz w:val="22"/>
          <w:szCs w:val="22"/>
        </w:rPr>
      </w:pPr>
    </w:p>
    <w:p w14:paraId="4EA8E26E" w14:textId="77A1EF85" w:rsidR="003B1154" w:rsidRPr="003B1154" w:rsidRDefault="003B1154" w:rsidP="003B1154">
      <w:pPr>
        <w:jc w:val="both"/>
        <w:rPr>
          <w:sz w:val="22"/>
          <w:szCs w:val="22"/>
        </w:rPr>
      </w:pPr>
      <w:r>
        <w:rPr>
          <w:rFonts w:ascii="TimesNewRomanPSMT" w:hAnsi="TimesNewRomanPSMT"/>
          <w:sz w:val="22"/>
          <w:szCs w:val="22"/>
        </w:rPr>
        <w:t xml:space="preserve">Attendu qu’en statuant ainsi, alors que le CCF avait </w:t>
      </w:r>
      <w:proofErr w:type="spellStart"/>
      <w:r>
        <w:rPr>
          <w:rFonts w:ascii="TimesNewRomanPSMT" w:hAnsi="TimesNewRomanPSMT"/>
          <w:sz w:val="22"/>
          <w:szCs w:val="22"/>
        </w:rPr>
        <w:t>reçu</w:t>
      </w:r>
      <w:proofErr w:type="spellEnd"/>
      <w:r>
        <w:rPr>
          <w:rFonts w:ascii="TimesNewRomanPSMT" w:hAnsi="TimesNewRomanPSMT"/>
          <w:sz w:val="22"/>
          <w:szCs w:val="22"/>
        </w:rPr>
        <w:t xml:space="preserve"> les paiements litigieux au nom et pour le compte de la </w:t>
      </w:r>
      <w:proofErr w:type="spellStart"/>
      <w:r>
        <w:rPr>
          <w:rFonts w:ascii="TimesNewRomanPSMT" w:hAnsi="TimesNewRomanPSMT"/>
          <w:sz w:val="22"/>
          <w:szCs w:val="22"/>
        </w:rPr>
        <w:t>sociéte</w:t>
      </w:r>
      <w:proofErr w:type="spellEnd"/>
      <w:r>
        <w:rPr>
          <w:rFonts w:ascii="TimesNewRomanPSMT" w:hAnsi="TimesNewRomanPSMT"/>
          <w:sz w:val="22"/>
          <w:szCs w:val="22"/>
        </w:rPr>
        <w:t xml:space="preserve">́ MAT, qui en </w:t>
      </w:r>
      <w:proofErr w:type="spellStart"/>
      <w:r>
        <w:rPr>
          <w:rFonts w:ascii="TimesNewRomanPSMT" w:hAnsi="TimesNewRomanPSMT"/>
          <w:sz w:val="22"/>
          <w:szCs w:val="22"/>
        </w:rPr>
        <w:t>était</w:t>
      </w:r>
      <w:proofErr w:type="spellEnd"/>
      <w:r>
        <w:rPr>
          <w:rFonts w:ascii="TimesNewRomanPSMT" w:hAnsi="TimesNewRomanPSMT"/>
          <w:sz w:val="22"/>
          <w:szCs w:val="22"/>
        </w:rPr>
        <w:t xml:space="preserve"> destinataire, de sorte qu’il n’</w:t>
      </w:r>
      <w:proofErr w:type="spellStart"/>
      <w:r>
        <w:rPr>
          <w:rFonts w:ascii="TimesNewRomanPSMT" w:hAnsi="TimesNewRomanPSMT"/>
          <w:sz w:val="22"/>
          <w:szCs w:val="22"/>
        </w:rPr>
        <w:t>était</w:t>
      </w:r>
      <w:proofErr w:type="spellEnd"/>
      <w:r>
        <w:rPr>
          <w:rFonts w:ascii="TimesNewRomanPSMT" w:hAnsi="TimesNewRomanPSMT"/>
          <w:sz w:val="22"/>
          <w:szCs w:val="22"/>
        </w:rPr>
        <w:t xml:space="preserve"> pas tenu à restitution envers la SDBO, la cour d’appel a </w:t>
      </w:r>
      <w:proofErr w:type="spellStart"/>
      <w:r>
        <w:rPr>
          <w:rFonts w:ascii="TimesNewRomanPSMT" w:hAnsi="TimesNewRomanPSMT"/>
          <w:sz w:val="22"/>
          <w:szCs w:val="22"/>
        </w:rPr>
        <w:t>viole</w:t>
      </w:r>
      <w:proofErr w:type="spellEnd"/>
      <w:r>
        <w:rPr>
          <w:rFonts w:ascii="TimesNewRomanPSMT" w:hAnsi="TimesNewRomanPSMT"/>
          <w:sz w:val="22"/>
          <w:szCs w:val="22"/>
        </w:rPr>
        <w:t xml:space="preserve">́ les textes </w:t>
      </w:r>
      <w:proofErr w:type="spellStart"/>
      <w:r>
        <w:rPr>
          <w:rFonts w:ascii="TimesNewRomanPSMT" w:hAnsi="TimesNewRomanPSMT"/>
          <w:sz w:val="22"/>
          <w:szCs w:val="22"/>
        </w:rPr>
        <w:t>susvisés</w:t>
      </w:r>
      <w:proofErr w:type="spellEnd"/>
      <w:r>
        <w:rPr>
          <w:rFonts w:ascii="TimesNewRomanPSMT" w:hAnsi="TimesNewRomanPSMT"/>
          <w:sz w:val="22"/>
          <w:szCs w:val="22"/>
        </w:rPr>
        <w:t xml:space="preserve"> ; </w:t>
      </w:r>
    </w:p>
    <w:p w14:paraId="6CEA8855" w14:textId="77777777" w:rsidR="003B1154" w:rsidRDefault="003B1154" w:rsidP="003B1154">
      <w:pPr>
        <w:pStyle w:val="NormalWeb"/>
        <w:jc w:val="both"/>
        <w:rPr>
          <w:rFonts w:ascii="TimesNewRomanPSMT" w:hAnsi="TimesNewRomanPSMT"/>
          <w:sz w:val="22"/>
          <w:szCs w:val="22"/>
        </w:rPr>
      </w:pPr>
      <w:r>
        <w:rPr>
          <w:rFonts w:ascii="TimesNewRomanPSMT" w:hAnsi="TimesNewRomanPSMT"/>
          <w:sz w:val="22"/>
          <w:szCs w:val="22"/>
        </w:rPr>
        <w:t xml:space="preserve">PAR CES MOTIFS, et sans qu’il y ait lieu de statuer sur la </w:t>
      </w:r>
      <w:proofErr w:type="spellStart"/>
      <w:r>
        <w:rPr>
          <w:rFonts w:ascii="TimesNewRomanPSMT" w:hAnsi="TimesNewRomanPSMT"/>
          <w:sz w:val="22"/>
          <w:szCs w:val="22"/>
        </w:rPr>
        <w:t>première</w:t>
      </w:r>
      <w:proofErr w:type="spellEnd"/>
      <w:r>
        <w:rPr>
          <w:rFonts w:ascii="TimesNewRomanPSMT" w:hAnsi="TimesNewRomanPSMT"/>
          <w:sz w:val="22"/>
          <w:szCs w:val="22"/>
        </w:rPr>
        <w:t xml:space="preserve"> branche du premier moyen :</w:t>
      </w:r>
    </w:p>
    <w:p w14:paraId="619C7DD9" w14:textId="7C7D0875" w:rsidR="003B1154" w:rsidRDefault="003B1154" w:rsidP="003B1154">
      <w:pPr>
        <w:pStyle w:val="NormalWeb"/>
        <w:jc w:val="both"/>
      </w:pPr>
      <w:r>
        <w:rPr>
          <w:rFonts w:ascii="TimesNewRomanPSMT" w:hAnsi="TimesNewRomanPSMT"/>
          <w:sz w:val="22"/>
          <w:szCs w:val="22"/>
        </w:rPr>
        <w:t xml:space="preserve">CASSE ET ANNULE </w:t>
      </w:r>
    </w:p>
    <w:p w14:paraId="57A83B48" w14:textId="581B8F3F" w:rsidR="00506618" w:rsidRDefault="00503C5D">
      <w:pPr>
        <w:spacing w:before="180" w:after="180"/>
        <w:jc w:val="both"/>
        <w:rPr>
          <w:color w:val="000000"/>
          <w:sz w:val="22"/>
          <w:szCs w:val="22"/>
        </w:rPr>
      </w:pPr>
      <w:r>
        <w:br w:type="page"/>
      </w:r>
    </w:p>
    <w:p w14:paraId="6BF721D4" w14:textId="77777777" w:rsidR="00506618" w:rsidRDefault="00503C5D">
      <w:pPr>
        <w:jc w:val="both"/>
        <w:rPr>
          <w:b/>
          <w:sz w:val="22"/>
          <w:szCs w:val="22"/>
          <w:u w:val="single"/>
        </w:rPr>
      </w:pPr>
      <w:r>
        <w:rPr>
          <w:b/>
          <w:sz w:val="22"/>
          <w:szCs w:val="22"/>
          <w:u w:val="single"/>
        </w:rPr>
        <w:lastRenderedPageBreak/>
        <w:t>Second sujet : exercice pratique</w:t>
      </w:r>
    </w:p>
    <w:p w14:paraId="02D9B8B5" w14:textId="77777777" w:rsidR="00506618" w:rsidRDefault="00506618">
      <w:pPr>
        <w:jc w:val="both"/>
        <w:rPr>
          <w:b/>
          <w:sz w:val="22"/>
          <w:szCs w:val="22"/>
          <w:u w:val="single"/>
        </w:rPr>
      </w:pPr>
    </w:p>
    <w:p w14:paraId="050582FF" w14:textId="05CE0885" w:rsidR="00266810" w:rsidRPr="0056524D" w:rsidRDefault="00503C5D" w:rsidP="00C4389C">
      <w:pPr>
        <w:jc w:val="both"/>
        <w:rPr>
          <w:color w:val="000000"/>
          <w:sz w:val="22"/>
          <w:szCs w:val="22"/>
        </w:rPr>
      </w:pPr>
      <w:r>
        <w:rPr>
          <w:b/>
          <w:color w:val="000000"/>
          <w:sz w:val="22"/>
          <w:szCs w:val="22"/>
        </w:rPr>
        <w:t>1. </w:t>
      </w:r>
      <w:r w:rsidR="0056524D">
        <w:rPr>
          <w:b/>
          <w:color w:val="000000"/>
          <w:sz w:val="22"/>
          <w:szCs w:val="22"/>
        </w:rPr>
        <w:t>(</w:t>
      </w:r>
      <w:r w:rsidR="00294D6C">
        <w:rPr>
          <w:b/>
          <w:color w:val="000000"/>
          <w:sz w:val="22"/>
          <w:szCs w:val="22"/>
        </w:rPr>
        <w:t>7 </w:t>
      </w:r>
      <w:r w:rsidR="0056524D">
        <w:rPr>
          <w:b/>
          <w:color w:val="000000"/>
          <w:sz w:val="22"/>
          <w:szCs w:val="22"/>
        </w:rPr>
        <w:t>points).</w:t>
      </w:r>
      <w:r w:rsidR="0056524D">
        <w:rPr>
          <w:color w:val="000000"/>
          <w:sz w:val="22"/>
          <w:szCs w:val="22"/>
        </w:rPr>
        <w:t xml:space="preserve"> La société </w:t>
      </w:r>
      <w:proofErr w:type="spellStart"/>
      <w:r w:rsidR="0056524D">
        <w:rPr>
          <w:color w:val="000000"/>
          <w:sz w:val="22"/>
          <w:szCs w:val="22"/>
        </w:rPr>
        <w:t>Mecano</w:t>
      </w:r>
      <w:proofErr w:type="spellEnd"/>
      <w:r w:rsidR="0056524D">
        <w:rPr>
          <w:color w:val="000000"/>
          <w:sz w:val="22"/>
          <w:szCs w:val="22"/>
        </w:rPr>
        <w:t xml:space="preserve"> commercialise des pièces mécaniques et compte la société Auto au nombre de ses clients réguliers. Le 9 janvier 2021, elle a tiré une lettre de change sur la société Auto à l’ordre d’une troisième société, la société </w:t>
      </w:r>
      <w:proofErr w:type="spellStart"/>
      <w:r w:rsidR="0056524D">
        <w:rPr>
          <w:color w:val="000000"/>
          <w:sz w:val="22"/>
          <w:szCs w:val="22"/>
        </w:rPr>
        <w:t>Galvin</w:t>
      </w:r>
      <w:proofErr w:type="spellEnd"/>
      <w:r w:rsidR="0056524D">
        <w:rPr>
          <w:color w:val="000000"/>
          <w:sz w:val="22"/>
          <w:szCs w:val="22"/>
        </w:rPr>
        <w:t>, pour un montant de 180.000 euros. L’échéance de la lettre de cha</w:t>
      </w:r>
      <w:r w:rsidR="005C290F">
        <w:rPr>
          <w:color w:val="000000"/>
          <w:sz w:val="22"/>
          <w:szCs w:val="22"/>
        </w:rPr>
        <w:t xml:space="preserve">nge a été fixée au 7 avril 2021. La société </w:t>
      </w:r>
      <w:proofErr w:type="spellStart"/>
      <w:r w:rsidR="005C290F">
        <w:rPr>
          <w:color w:val="000000"/>
          <w:sz w:val="22"/>
          <w:szCs w:val="22"/>
        </w:rPr>
        <w:t>Galvin</w:t>
      </w:r>
      <w:proofErr w:type="spellEnd"/>
      <w:r w:rsidR="005C290F">
        <w:rPr>
          <w:color w:val="000000"/>
          <w:sz w:val="22"/>
          <w:szCs w:val="22"/>
        </w:rPr>
        <w:t xml:space="preserve"> a présenté la lettre de change à la société Auto, qui l’a acceptée le 7 février 2021. Après quoi, la gérante de la société </w:t>
      </w:r>
      <w:proofErr w:type="spellStart"/>
      <w:r w:rsidR="005C290F">
        <w:rPr>
          <w:color w:val="000000"/>
          <w:sz w:val="22"/>
          <w:szCs w:val="22"/>
        </w:rPr>
        <w:t>Galvin</w:t>
      </w:r>
      <w:proofErr w:type="spellEnd"/>
      <w:r w:rsidR="005C290F">
        <w:rPr>
          <w:color w:val="000000"/>
          <w:sz w:val="22"/>
          <w:szCs w:val="22"/>
        </w:rPr>
        <w:t xml:space="preserve">, Madame </w:t>
      </w:r>
      <w:proofErr w:type="spellStart"/>
      <w:r w:rsidR="005C290F">
        <w:rPr>
          <w:color w:val="000000"/>
          <w:sz w:val="22"/>
          <w:szCs w:val="22"/>
        </w:rPr>
        <w:t>Atis</w:t>
      </w:r>
      <w:proofErr w:type="spellEnd"/>
      <w:r w:rsidR="005C290F">
        <w:rPr>
          <w:color w:val="000000"/>
          <w:sz w:val="22"/>
          <w:szCs w:val="22"/>
        </w:rPr>
        <w:t>, a modifié le montant de la lettre de change en le portant à 280.000 euros, en raison des difficultés rencontrées par sa société. Elle a transmis la lettre de change ainsi modifiée au Crédit Général, qui l’a prise à l’escompte le 17 février 2021.</w:t>
      </w:r>
    </w:p>
    <w:p w14:paraId="7A8BBD0D" w14:textId="77777777" w:rsidR="00C4389C" w:rsidRDefault="00C4389C" w:rsidP="00C4389C">
      <w:pPr>
        <w:jc w:val="both"/>
        <w:rPr>
          <w:color w:val="000000"/>
          <w:sz w:val="22"/>
          <w:szCs w:val="22"/>
        </w:rPr>
      </w:pPr>
    </w:p>
    <w:p w14:paraId="12108179" w14:textId="12ED9719" w:rsidR="005C290F" w:rsidRDefault="005C290F" w:rsidP="00C4389C">
      <w:pPr>
        <w:jc w:val="both"/>
        <w:rPr>
          <w:color w:val="000000"/>
          <w:sz w:val="22"/>
          <w:szCs w:val="22"/>
        </w:rPr>
      </w:pPr>
      <w:r>
        <w:rPr>
          <w:color w:val="000000"/>
          <w:sz w:val="22"/>
          <w:szCs w:val="22"/>
        </w:rPr>
        <w:t xml:space="preserve">Par la suite, la société </w:t>
      </w:r>
      <w:proofErr w:type="spellStart"/>
      <w:r>
        <w:rPr>
          <w:color w:val="000000"/>
          <w:sz w:val="22"/>
          <w:szCs w:val="22"/>
        </w:rPr>
        <w:t>Mecano</w:t>
      </w:r>
      <w:proofErr w:type="spellEnd"/>
      <w:r>
        <w:rPr>
          <w:color w:val="000000"/>
          <w:sz w:val="22"/>
          <w:szCs w:val="22"/>
        </w:rPr>
        <w:t xml:space="preserve"> a rencontré des difficultés financières et n’a pas été en mesure d’exécuter la commande de pièces mécaniques reçue de la société Auto. En conséquence, cette dernière société a obtenu la résolution du contrat de vente qu’elle avait conclu avec la société </w:t>
      </w:r>
      <w:proofErr w:type="spellStart"/>
      <w:r>
        <w:rPr>
          <w:color w:val="000000"/>
          <w:sz w:val="22"/>
          <w:szCs w:val="22"/>
        </w:rPr>
        <w:t>Mecano</w:t>
      </w:r>
      <w:proofErr w:type="spellEnd"/>
      <w:r>
        <w:rPr>
          <w:color w:val="000000"/>
          <w:sz w:val="22"/>
          <w:szCs w:val="22"/>
        </w:rPr>
        <w:t>.</w:t>
      </w:r>
    </w:p>
    <w:p w14:paraId="7D5DCF7B" w14:textId="77777777" w:rsidR="005C290F" w:rsidRDefault="005C290F" w:rsidP="00C4389C">
      <w:pPr>
        <w:jc w:val="both"/>
        <w:rPr>
          <w:color w:val="000000"/>
          <w:sz w:val="22"/>
          <w:szCs w:val="22"/>
        </w:rPr>
      </w:pPr>
    </w:p>
    <w:p w14:paraId="3FCA65D6" w14:textId="0F359BFC" w:rsidR="005C290F" w:rsidRDefault="009914C2" w:rsidP="00C4389C">
      <w:pPr>
        <w:jc w:val="both"/>
        <w:rPr>
          <w:color w:val="000000"/>
          <w:sz w:val="22"/>
          <w:szCs w:val="22"/>
        </w:rPr>
      </w:pPr>
      <w:r>
        <w:rPr>
          <w:color w:val="000000"/>
          <w:sz w:val="22"/>
          <w:szCs w:val="22"/>
        </w:rPr>
        <w:t>À</w:t>
      </w:r>
      <w:r w:rsidR="005C290F">
        <w:rPr>
          <w:color w:val="000000"/>
          <w:sz w:val="22"/>
          <w:szCs w:val="22"/>
        </w:rPr>
        <w:t xml:space="preserve"> l’échéance, le 7 avril 2021, le Crédit Général a présenté la lettre de change au paiement de la société Auto pour un montant de 280.000 euros, mais cette dernière société considère qu’elle ne lui doit rien. Elle ajoute que le Crédit Général est de mauvaise foi, car il est aussi la banque de la société </w:t>
      </w:r>
      <w:proofErr w:type="spellStart"/>
      <w:r w:rsidR="005C290F">
        <w:rPr>
          <w:color w:val="000000"/>
          <w:sz w:val="22"/>
          <w:szCs w:val="22"/>
        </w:rPr>
        <w:t>Mecano</w:t>
      </w:r>
      <w:proofErr w:type="spellEnd"/>
      <w:r w:rsidR="005C290F">
        <w:rPr>
          <w:color w:val="000000"/>
          <w:sz w:val="22"/>
          <w:szCs w:val="22"/>
        </w:rPr>
        <w:t xml:space="preserve"> et avait donc connaissance des difficultés financières de cette dernière. De fait, la société </w:t>
      </w:r>
      <w:proofErr w:type="spellStart"/>
      <w:r w:rsidR="005C290F">
        <w:rPr>
          <w:color w:val="000000"/>
          <w:sz w:val="22"/>
          <w:szCs w:val="22"/>
        </w:rPr>
        <w:t>Mecano</w:t>
      </w:r>
      <w:proofErr w:type="spellEnd"/>
      <w:r w:rsidR="005C290F">
        <w:rPr>
          <w:color w:val="000000"/>
          <w:sz w:val="22"/>
          <w:szCs w:val="22"/>
        </w:rPr>
        <w:t xml:space="preserve"> a été placée en redressement judiciaire le 22 mars 2021.</w:t>
      </w:r>
    </w:p>
    <w:p w14:paraId="1E43ACBE" w14:textId="77777777" w:rsidR="005C290F" w:rsidRDefault="005C290F" w:rsidP="00C4389C">
      <w:pPr>
        <w:jc w:val="both"/>
        <w:rPr>
          <w:color w:val="000000"/>
          <w:sz w:val="22"/>
          <w:szCs w:val="22"/>
        </w:rPr>
      </w:pPr>
    </w:p>
    <w:p w14:paraId="6897CC89" w14:textId="70FFA588" w:rsidR="005C290F" w:rsidRPr="009563E7" w:rsidRDefault="005C290F" w:rsidP="00C4389C">
      <w:pPr>
        <w:jc w:val="both"/>
        <w:rPr>
          <w:color w:val="000000"/>
          <w:sz w:val="22"/>
          <w:szCs w:val="22"/>
        </w:rPr>
      </w:pPr>
      <w:r>
        <w:rPr>
          <w:b/>
          <w:color w:val="000000"/>
          <w:sz w:val="22"/>
          <w:szCs w:val="22"/>
        </w:rPr>
        <w:t>2. (</w:t>
      </w:r>
      <w:r w:rsidR="00294D6C">
        <w:rPr>
          <w:b/>
          <w:color w:val="000000"/>
          <w:sz w:val="22"/>
          <w:szCs w:val="22"/>
        </w:rPr>
        <w:t>7 </w:t>
      </w:r>
      <w:r>
        <w:rPr>
          <w:b/>
          <w:color w:val="000000"/>
          <w:sz w:val="22"/>
          <w:szCs w:val="22"/>
        </w:rPr>
        <w:t>points). </w:t>
      </w:r>
      <w:r w:rsidR="009563E7">
        <w:rPr>
          <w:color w:val="000000"/>
          <w:sz w:val="22"/>
          <w:szCs w:val="22"/>
        </w:rPr>
        <w:t xml:space="preserve">La société Nouvelles Presses a livré des ouvrages à la société </w:t>
      </w:r>
      <w:proofErr w:type="spellStart"/>
      <w:r w:rsidR="009563E7">
        <w:rPr>
          <w:color w:val="000000"/>
          <w:sz w:val="22"/>
          <w:szCs w:val="22"/>
        </w:rPr>
        <w:t>Delamain</w:t>
      </w:r>
      <w:proofErr w:type="spellEnd"/>
      <w:r w:rsidR="009563E7">
        <w:rPr>
          <w:color w:val="000000"/>
          <w:sz w:val="22"/>
          <w:szCs w:val="22"/>
        </w:rPr>
        <w:t xml:space="preserve">, qui doit lui </w:t>
      </w:r>
      <w:r w:rsidR="009010FB">
        <w:rPr>
          <w:color w:val="000000"/>
          <w:sz w:val="22"/>
          <w:szCs w:val="22"/>
        </w:rPr>
        <w:t xml:space="preserve">en </w:t>
      </w:r>
      <w:r w:rsidR="009563E7">
        <w:rPr>
          <w:color w:val="000000"/>
          <w:sz w:val="22"/>
          <w:szCs w:val="22"/>
        </w:rPr>
        <w:t xml:space="preserve">payer le prix le 8 septembre 2020. Elle a tiré une lettre de change sur la société </w:t>
      </w:r>
      <w:proofErr w:type="spellStart"/>
      <w:r w:rsidR="009563E7">
        <w:rPr>
          <w:color w:val="000000"/>
          <w:sz w:val="22"/>
          <w:szCs w:val="22"/>
        </w:rPr>
        <w:t>Delamain</w:t>
      </w:r>
      <w:proofErr w:type="spellEnd"/>
      <w:r w:rsidR="009563E7">
        <w:rPr>
          <w:color w:val="000000"/>
          <w:sz w:val="22"/>
          <w:szCs w:val="22"/>
        </w:rPr>
        <w:t xml:space="preserve"> le 11 juillet 2020 et l’a aussitôt escomptée au profit de sa banque habituelle, le Crédit Général. La société Nouvelles Presses, qui a un besoin urgent de trésorerie, a cédé la même créance par voie de bordereau Dailly à une autre banque, le Crédit Agricole, le 17 juillet 2020. Le Crédit Général, qui commençait à se méfier, a adressé à la société </w:t>
      </w:r>
      <w:proofErr w:type="spellStart"/>
      <w:r w:rsidR="009563E7">
        <w:rPr>
          <w:color w:val="000000"/>
          <w:sz w:val="22"/>
          <w:szCs w:val="22"/>
        </w:rPr>
        <w:t>Delamain</w:t>
      </w:r>
      <w:proofErr w:type="spellEnd"/>
      <w:r w:rsidR="009563E7">
        <w:rPr>
          <w:color w:val="000000"/>
          <w:sz w:val="22"/>
          <w:szCs w:val="22"/>
        </w:rPr>
        <w:t xml:space="preserve"> une défense de payer le 22 juillet 2020. Le Crédit Agricole, qui avait également eu vent des difficultés de la société Nouvelles Presses, a notifié la cession intervenue à la société </w:t>
      </w:r>
      <w:proofErr w:type="spellStart"/>
      <w:r w:rsidR="009563E7">
        <w:rPr>
          <w:color w:val="000000"/>
          <w:sz w:val="22"/>
          <w:szCs w:val="22"/>
        </w:rPr>
        <w:t>Delamain</w:t>
      </w:r>
      <w:proofErr w:type="spellEnd"/>
      <w:r w:rsidR="009563E7">
        <w:rPr>
          <w:color w:val="000000"/>
          <w:sz w:val="22"/>
          <w:szCs w:val="22"/>
        </w:rPr>
        <w:t xml:space="preserve"> le 29 juillet 2020. Le Crédit Général, qui était de plus en plus inquiet, a présenté la lettre de change à l’acceptation de la société </w:t>
      </w:r>
      <w:proofErr w:type="spellStart"/>
      <w:r w:rsidR="009563E7">
        <w:rPr>
          <w:color w:val="000000"/>
          <w:sz w:val="22"/>
          <w:szCs w:val="22"/>
        </w:rPr>
        <w:t>Delamain</w:t>
      </w:r>
      <w:proofErr w:type="spellEnd"/>
      <w:r w:rsidR="009563E7">
        <w:rPr>
          <w:color w:val="000000"/>
          <w:sz w:val="22"/>
          <w:szCs w:val="22"/>
        </w:rPr>
        <w:t xml:space="preserve"> le 5 août. La société </w:t>
      </w:r>
      <w:proofErr w:type="spellStart"/>
      <w:r w:rsidR="009563E7">
        <w:rPr>
          <w:color w:val="000000"/>
          <w:sz w:val="22"/>
          <w:szCs w:val="22"/>
        </w:rPr>
        <w:t>Delamain</w:t>
      </w:r>
      <w:proofErr w:type="spellEnd"/>
      <w:r w:rsidR="009563E7">
        <w:rPr>
          <w:color w:val="000000"/>
          <w:sz w:val="22"/>
          <w:szCs w:val="22"/>
        </w:rPr>
        <w:t xml:space="preserve"> a répondu favorablement à sa demande. </w:t>
      </w:r>
      <w:r w:rsidR="00EC74A2">
        <w:rPr>
          <w:color w:val="000000"/>
          <w:sz w:val="22"/>
          <w:szCs w:val="22"/>
        </w:rPr>
        <w:t xml:space="preserve">À </w:t>
      </w:r>
      <w:r w:rsidR="009563E7">
        <w:rPr>
          <w:color w:val="000000"/>
          <w:sz w:val="22"/>
          <w:szCs w:val="22"/>
        </w:rPr>
        <w:t xml:space="preserve">l’échéance, la société </w:t>
      </w:r>
      <w:proofErr w:type="spellStart"/>
      <w:r w:rsidR="009563E7">
        <w:rPr>
          <w:color w:val="000000"/>
          <w:sz w:val="22"/>
          <w:szCs w:val="22"/>
        </w:rPr>
        <w:t>Delamain</w:t>
      </w:r>
      <w:proofErr w:type="spellEnd"/>
      <w:r w:rsidR="009563E7">
        <w:rPr>
          <w:color w:val="000000"/>
          <w:sz w:val="22"/>
          <w:szCs w:val="22"/>
        </w:rPr>
        <w:t xml:space="preserve"> a donc payé le Crédit Général et refusé de payer le Crédit Agricole.</w:t>
      </w:r>
    </w:p>
    <w:p w14:paraId="228E83AE" w14:textId="77777777" w:rsidR="005C290F" w:rsidRDefault="005C290F" w:rsidP="00C4389C">
      <w:pPr>
        <w:jc w:val="both"/>
        <w:rPr>
          <w:color w:val="000000"/>
          <w:sz w:val="22"/>
          <w:szCs w:val="22"/>
        </w:rPr>
      </w:pPr>
    </w:p>
    <w:p w14:paraId="5DC12FED" w14:textId="272355AD" w:rsidR="00BE5F3C" w:rsidRDefault="00294D6C" w:rsidP="00C4389C">
      <w:pPr>
        <w:jc w:val="both"/>
        <w:rPr>
          <w:color w:val="000000"/>
          <w:sz w:val="22"/>
          <w:szCs w:val="22"/>
        </w:rPr>
      </w:pPr>
      <w:r>
        <w:rPr>
          <w:b/>
          <w:color w:val="000000"/>
          <w:sz w:val="22"/>
          <w:szCs w:val="22"/>
        </w:rPr>
        <w:t>3. (6 </w:t>
      </w:r>
      <w:r w:rsidR="00BE5F3C">
        <w:rPr>
          <w:b/>
          <w:color w:val="000000"/>
          <w:sz w:val="22"/>
          <w:szCs w:val="22"/>
        </w:rPr>
        <w:t>points).</w:t>
      </w:r>
      <w:r w:rsidR="00BE5F3C">
        <w:rPr>
          <w:color w:val="000000"/>
          <w:sz w:val="22"/>
          <w:szCs w:val="22"/>
        </w:rPr>
        <w:t> </w:t>
      </w:r>
      <w:r w:rsidR="000D12C4">
        <w:rPr>
          <w:color w:val="000000"/>
          <w:sz w:val="22"/>
          <w:szCs w:val="22"/>
        </w:rPr>
        <w:t>Norbert Durand, qui vient de recevoir son relevé de compte mensuel dématérialisé, a aussitôt contacté sa banque, le Crédit Général, pour contester plusieurs opérations :</w:t>
      </w:r>
    </w:p>
    <w:p w14:paraId="2BEEF6A6" w14:textId="77777777" w:rsidR="000D12C4" w:rsidRDefault="000D12C4" w:rsidP="00C4389C">
      <w:pPr>
        <w:jc w:val="both"/>
        <w:rPr>
          <w:color w:val="000000"/>
          <w:sz w:val="22"/>
          <w:szCs w:val="22"/>
        </w:rPr>
      </w:pPr>
    </w:p>
    <w:p w14:paraId="0978FE72" w14:textId="2CF4C967" w:rsidR="000D12C4" w:rsidRPr="000D12C4" w:rsidRDefault="003B2ADA" w:rsidP="000D12C4">
      <w:pPr>
        <w:pStyle w:val="Paragraphedeliste"/>
        <w:numPr>
          <w:ilvl w:val="0"/>
          <w:numId w:val="1"/>
        </w:numPr>
        <w:jc w:val="both"/>
        <w:rPr>
          <w:color w:val="000000"/>
          <w:sz w:val="22"/>
          <w:szCs w:val="22"/>
        </w:rPr>
      </w:pPr>
      <w:proofErr w:type="gramStart"/>
      <w:r w:rsidRPr="003C5C86">
        <w:rPr>
          <w:color w:val="000000"/>
          <w:sz w:val="22"/>
          <w:szCs w:val="22"/>
          <w:lang w:eastAsia="fr-FR"/>
        </w:rPr>
        <w:t>le</w:t>
      </w:r>
      <w:proofErr w:type="gramEnd"/>
      <w:r w:rsidRPr="003C5C86">
        <w:rPr>
          <w:color w:val="000000"/>
          <w:sz w:val="22"/>
          <w:szCs w:val="22"/>
          <w:lang w:eastAsia="fr-FR"/>
        </w:rPr>
        <w:t xml:space="preserve"> prélèvement mensuel de </w:t>
      </w:r>
      <w:r>
        <w:rPr>
          <w:color w:val="000000"/>
          <w:sz w:val="22"/>
          <w:szCs w:val="22"/>
          <w:lang w:eastAsia="fr-FR"/>
        </w:rPr>
        <w:t>5</w:t>
      </w:r>
      <w:r w:rsidRPr="003C5C86">
        <w:rPr>
          <w:color w:val="000000"/>
          <w:sz w:val="22"/>
          <w:szCs w:val="22"/>
          <w:lang w:eastAsia="fr-FR"/>
        </w:rPr>
        <w:t xml:space="preserve">.600 euros adressé au profit de son concessionnaire automobile, au titre du paiement échelonné de son nouveau véhicule, n'a pas été reversé </w:t>
      </w:r>
      <w:r>
        <w:rPr>
          <w:color w:val="000000"/>
          <w:sz w:val="22"/>
          <w:szCs w:val="22"/>
          <w:lang w:eastAsia="fr-FR"/>
        </w:rPr>
        <w:t>au concessionnaire</w:t>
      </w:r>
      <w:r w:rsidRPr="003C5C86">
        <w:rPr>
          <w:color w:val="000000"/>
          <w:sz w:val="22"/>
          <w:szCs w:val="22"/>
          <w:lang w:eastAsia="fr-FR"/>
        </w:rPr>
        <w:t>, mais à un autre destinataire. Norbert Durand ne comprend pas une telle erreur, sachant que les précédents prélèvements mensuels au profit de son concessionnaire s</w:t>
      </w:r>
      <w:r>
        <w:rPr>
          <w:color w:val="000000"/>
          <w:sz w:val="22"/>
          <w:szCs w:val="22"/>
          <w:lang w:eastAsia="fr-FR"/>
        </w:rPr>
        <w:t>'étaient déroulés sans encombre </w:t>
      </w:r>
      <w:r w:rsidRPr="003C5C86">
        <w:rPr>
          <w:color w:val="000000"/>
          <w:sz w:val="22"/>
          <w:szCs w:val="22"/>
          <w:lang w:eastAsia="fr-FR"/>
        </w:rPr>
        <w:t>;</w:t>
      </w:r>
    </w:p>
    <w:p w14:paraId="1772E7FD" w14:textId="7A9FC3D4" w:rsidR="003B2ADA" w:rsidRPr="003C5C86" w:rsidRDefault="003B2ADA" w:rsidP="003B2ADA">
      <w:pPr>
        <w:pStyle w:val="gmail-msolistparagraph"/>
        <w:numPr>
          <w:ilvl w:val="0"/>
          <w:numId w:val="1"/>
        </w:numPr>
        <w:spacing w:before="0" w:beforeAutospacing="0" w:after="0" w:afterAutospacing="0"/>
        <w:jc w:val="both"/>
        <w:rPr>
          <w:color w:val="00000A"/>
        </w:rPr>
      </w:pPr>
      <w:proofErr w:type="gramStart"/>
      <w:r w:rsidRPr="003C5C86">
        <w:rPr>
          <w:color w:val="000000"/>
          <w:sz w:val="22"/>
          <w:szCs w:val="22"/>
        </w:rPr>
        <w:t>un</w:t>
      </w:r>
      <w:proofErr w:type="gramEnd"/>
      <w:r w:rsidRPr="003C5C86">
        <w:rPr>
          <w:color w:val="000000"/>
          <w:sz w:val="22"/>
          <w:szCs w:val="22"/>
        </w:rPr>
        <w:t xml:space="preserve"> chèque d’un montant de 7.600 euros a été payé par le Crédit Général il y a quelques jours. Norbert Durand se souvient bien avoir tiré un chèque au profit du bénéficiaire, un fabricant d'imprimantes, mais pour un montant de 760 euros.</w:t>
      </w:r>
    </w:p>
    <w:p w14:paraId="2E3A9CC5" w14:textId="3DFCDCE8" w:rsidR="003B2ADA" w:rsidRPr="003C5C86" w:rsidRDefault="003B2ADA" w:rsidP="003B2ADA">
      <w:pPr>
        <w:overflowPunct/>
        <w:jc w:val="both"/>
        <w:rPr>
          <w:lang w:eastAsia="fr-FR"/>
        </w:rPr>
      </w:pPr>
    </w:p>
    <w:p w14:paraId="25E87C29" w14:textId="156FBC84" w:rsidR="000D12C4" w:rsidRDefault="003B2ADA" w:rsidP="003B2ADA">
      <w:pPr>
        <w:jc w:val="both"/>
        <w:rPr>
          <w:color w:val="000000"/>
          <w:sz w:val="22"/>
          <w:szCs w:val="22"/>
          <w:lang w:eastAsia="fr-FR"/>
        </w:rPr>
      </w:pPr>
      <w:r w:rsidRPr="003B2ADA">
        <w:rPr>
          <w:color w:val="000000"/>
          <w:sz w:val="22"/>
          <w:szCs w:val="22"/>
          <w:lang w:eastAsia="fr-FR"/>
        </w:rPr>
        <w:t>Le Crédit Général est réticent à la perspective de rembourser la première opération de paiement. En revanche, la banque est gênée s’agissant de la seconde opération car, après vérification, le dernier zéro du</w:t>
      </w:r>
      <w:r>
        <w:rPr>
          <w:color w:val="000000"/>
          <w:sz w:val="22"/>
          <w:szCs w:val="22"/>
          <w:lang w:eastAsia="fr-FR"/>
        </w:rPr>
        <w:t xml:space="preserve"> montant en chiffres et le mot « </w:t>
      </w:r>
      <w:r w:rsidRPr="003B2ADA">
        <w:rPr>
          <w:i/>
          <w:color w:val="000000"/>
          <w:sz w:val="22"/>
          <w:szCs w:val="22"/>
          <w:lang w:eastAsia="fr-FR"/>
        </w:rPr>
        <w:t>mille </w:t>
      </w:r>
      <w:r>
        <w:rPr>
          <w:color w:val="000000"/>
          <w:sz w:val="22"/>
          <w:szCs w:val="22"/>
          <w:lang w:eastAsia="fr-FR"/>
        </w:rPr>
        <w:t>»</w:t>
      </w:r>
      <w:r w:rsidRPr="003B2ADA">
        <w:rPr>
          <w:color w:val="000000"/>
          <w:sz w:val="22"/>
          <w:szCs w:val="22"/>
          <w:lang w:eastAsia="fr-FR"/>
        </w:rPr>
        <w:t xml:space="preserve"> du montant en lettres sont inscrits à </w:t>
      </w:r>
      <w:r w:rsidRPr="003B2ADA">
        <w:rPr>
          <w:color w:val="000000"/>
          <w:sz w:val="22"/>
          <w:szCs w:val="22"/>
          <w:lang w:eastAsia="fr-FR"/>
        </w:rPr>
        <w:lastRenderedPageBreak/>
        <w:t>l'encre bleue - et non noire comme le restant du chèque - et dans une écriture manifestement différente de celle figurant sur le chèque.</w:t>
      </w:r>
    </w:p>
    <w:p w14:paraId="45F6E4A6" w14:textId="77777777" w:rsidR="003B2ADA" w:rsidRPr="003B2ADA" w:rsidRDefault="003B2ADA" w:rsidP="003B2ADA">
      <w:pPr>
        <w:jc w:val="both"/>
        <w:rPr>
          <w:color w:val="000000"/>
          <w:sz w:val="22"/>
          <w:szCs w:val="22"/>
        </w:rPr>
      </w:pPr>
    </w:p>
    <w:p w14:paraId="2CEFCA72" w14:textId="38758243" w:rsidR="000D12C4" w:rsidRDefault="000D12C4" w:rsidP="00C4389C">
      <w:pPr>
        <w:jc w:val="both"/>
        <w:rPr>
          <w:color w:val="000000"/>
          <w:sz w:val="22"/>
          <w:szCs w:val="22"/>
        </w:rPr>
      </w:pPr>
      <w:r>
        <w:rPr>
          <w:color w:val="000000"/>
          <w:sz w:val="22"/>
          <w:szCs w:val="22"/>
        </w:rPr>
        <w:t>Qu’en pensez-vous ?</w:t>
      </w:r>
      <w:bookmarkStart w:id="0" w:name="_GoBack"/>
      <w:bookmarkEnd w:id="0"/>
    </w:p>
    <w:sectPr w:rsidR="000D12C4">
      <w:pgSz w:w="11906" w:h="16838"/>
      <w:pgMar w:top="1701" w:right="1701" w:bottom="1701"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WenQuanYi Micro Hei">
    <w:charset w:val="00"/>
    <w:family w:val="roman"/>
    <w:pitch w:val="default"/>
  </w:font>
  <w:font w:name="Lohit Devanagari">
    <w:altName w:val="Times New Roman"/>
    <w:charset w:val="00"/>
    <w:family w:val="roman"/>
    <w:pitch w:val="default"/>
  </w:font>
  <w:font w:name="Liberation Sans">
    <w:altName w:val="Times New Roman"/>
    <w:charset w:val="01"/>
    <w:family w:val="roman"/>
    <w:pitch w:val="variable"/>
  </w:font>
  <w:font w:name="Times">
    <w:panose1 w:val="0202060306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851D2"/>
    <w:multiLevelType w:val="hybridMultilevel"/>
    <w:tmpl w:val="0EF65C46"/>
    <w:lvl w:ilvl="0" w:tplc="9006CF80">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compatSetting w:name="compatibilityMode" w:uri="http://schemas.microsoft.com/office/word" w:val="12"/>
  </w:compat>
  <w:rsids>
    <w:rsidRoot w:val="00506618"/>
    <w:rsid w:val="0000431E"/>
    <w:rsid w:val="00055FE2"/>
    <w:rsid w:val="000D12C4"/>
    <w:rsid w:val="000D2825"/>
    <w:rsid w:val="001C4784"/>
    <w:rsid w:val="00207ED5"/>
    <w:rsid w:val="00266810"/>
    <w:rsid w:val="00294D6C"/>
    <w:rsid w:val="002C5877"/>
    <w:rsid w:val="003B1154"/>
    <w:rsid w:val="003B2ADA"/>
    <w:rsid w:val="003C5C86"/>
    <w:rsid w:val="0040624D"/>
    <w:rsid w:val="004D14D1"/>
    <w:rsid w:val="004F4F1B"/>
    <w:rsid w:val="00503C5D"/>
    <w:rsid w:val="00506618"/>
    <w:rsid w:val="005437C2"/>
    <w:rsid w:val="0056524D"/>
    <w:rsid w:val="00590FEA"/>
    <w:rsid w:val="005C290F"/>
    <w:rsid w:val="00765FDC"/>
    <w:rsid w:val="00772F0E"/>
    <w:rsid w:val="00791927"/>
    <w:rsid w:val="0081215E"/>
    <w:rsid w:val="00831D68"/>
    <w:rsid w:val="009010FB"/>
    <w:rsid w:val="009563E7"/>
    <w:rsid w:val="009914C2"/>
    <w:rsid w:val="00A672D9"/>
    <w:rsid w:val="00BE5F3C"/>
    <w:rsid w:val="00C4389C"/>
    <w:rsid w:val="00C61D8C"/>
    <w:rsid w:val="00CC371F"/>
    <w:rsid w:val="00D05856"/>
    <w:rsid w:val="00D1164A"/>
    <w:rsid w:val="00E7387E"/>
    <w:rsid w:val="00EC5F05"/>
    <w:rsid w:val="00EC74A2"/>
    <w:rsid w:val="00F95A46"/>
    <w:rsid w:val="00FD276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55F6E"/>
  <w15:docId w15:val="{471832A2-15B5-EE47-9826-B3875EA8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WenQuanYi Micro Hei" w:hAnsi="Liberation Serif" w:cs="Lohit Devanagari"/>
        <w:szCs w:val="24"/>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rPr>
      <w:rFonts w:ascii="Times New Roman" w:eastAsia="Times New Roman" w:hAnsi="Times New Roman" w:cs="Times New Roman"/>
      <w:color w:val="00000A"/>
      <w:sz w:val="24"/>
      <w:lang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rPr>
      <w:rFonts w:ascii="Times New Roman" w:eastAsia="Times New Roman" w:hAnsi="Times New Roman" w:cs="Times New Roman"/>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1z3">
    <w:name w:val="WW8Num1z3"/>
    <w:qFormat/>
    <w:rPr>
      <w:rFonts w:ascii="Symbol" w:hAnsi="Symbol" w:cs="Symbol"/>
    </w:rPr>
  </w:style>
  <w:style w:type="character" w:customStyle="1" w:styleId="WW8Num2z0">
    <w:name w:val="WW8Num2z0"/>
    <w:qFormat/>
    <w:rPr>
      <w:rFonts w:ascii="Times New Roman" w:eastAsia="Times New Roman" w:hAnsi="Times New Roman" w:cs="Times New Roman"/>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Times New Roman" w:eastAsia="Times New Roman" w:hAnsi="Times New Roman"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Times New Roman" w:eastAsia="Times New Roman" w:hAnsi="Times New Roman" w:cs="Times New Roman"/>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Times New Roman" w:eastAsia="Times New Roman" w:hAnsi="Times New Roman" w:cs="Times New Roman"/>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surlignage">
    <w:name w:val="surlignage"/>
    <w:qFormat/>
  </w:style>
  <w:style w:type="character" w:customStyle="1" w:styleId="apple-converted-space">
    <w:name w:val="apple-converted-space"/>
    <w:qFormat/>
  </w:style>
  <w:style w:type="paragraph" w:styleId="Titre">
    <w:name w:val="Title"/>
    <w:basedOn w:val="Normal"/>
    <w:next w:val="Corpsdetexte"/>
    <w:qFormat/>
    <w:pPr>
      <w:keepNext/>
      <w:spacing w:before="240" w:after="120"/>
    </w:pPr>
    <w:rPr>
      <w:rFonts w:ascii="Liberation Sans" w:eastAsia="WenQuanYi Micro Hei" w:hAnsi="Liberation Sans"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Lohit Devanagari"/>
    </w:rPr>
  </w:style>
  <w:style w:type="paragraph" w:customStyle="1" w:styleId="Lgende1">
    <w:name w:val="Légende1"/>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qFormat/>
    <w:pPr>
      <w:spacing w:before="280" w:after="280"/>
    </w:pPr>
    <w:rPr>
      <w:rFonts w:ascii="Times" w:eastAsia="Times" w:hAnsi="Times" w:cs="Times"/>
      <w:sz w:val="20"/>
      <w:szCs w:val="20"/>
    </w:rPr>
  </w:style>
  <w:style w:type="paragraph" w:styleId="Sansinterligne">
    <w:name w:val="No Spacing"/>
    <w:qFormat/>
    <w:pPr>
      <w:overflowPunct w:val="0"/>
      <w:jc w:val="both"/>
    </w:pPr>
    <w:rPr>
      <w:rFonts w:ascii="Times New Roman" w:eastAsia="Calibri" w:hAnsi="Times New Roman" w:cs="Times New Roman"/>
      <w:color w:val="00000A"/>
      <w:sz w:val="24"/>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paragraph" w:styleId="Textedebulles">
    <w:name w:val="Balloon Text"/>
    <w:basedOn w:val="Normal"/>
    <w:link w:val="TextedebullesCar"/>
    <w:uiPriority w:val="99"/>
    <w:semiHidden/>
    <w:unhideWhenUsed/>
    <w:rsid w:val="00FD276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D276F"/>
    <w:rPr>
      <w:rFonts w:ascii="Lucida Grande" w:eastAsia="Times New Roman" w:hAnsi="Lucida Grande" w:cs="Lucida Grande"/>
      <w:color w:val="00000A"/>
      <w:sz w:val="18"/>
      <w:szCs w:val="18"/>
      <w:lang w:bidi="ar-SA"/>
    </w:rPr>
  </w:style>
  <w:style w:type="paragraph" w:styleId="Paragraphedeliste">
    <w:name w:val="List Paragraph"/>
    <w:basedOn w:val="Normal"/>
    <w:uiPriority w:val="34"/>
    <w:qFormat/>
    <w:rsid w:val="000D12C4"/>
    <w:pPr>
      <w:ind w:left="720"/>
      <w:contextualSpacing/>
    </w:pPr>
  </w:style>
  <w:style w:type="paragraph" w:styleId="Rvision">
    <w:name w:val="Revision"/>
    <w:hidden/>
    <w:uiPriority w:val="99"/>
    <w:semiHidden/>
    <w:rsid w:val="003C5C86"/>
    <w:rPr>
      <w:rFonts w:ascii="Times New Roman" w:eastAsia="Times New Roman" w:hAnsi="Times New Roman" w:cs="Times New Roman"/>
      <w:color w:val="00000A"/>
      <w:sz w:val="24"/>
      <w:lang w:bidi="ar-SA"/>
    </w:rPr>
  </w:style>
  <w:style w:type="character" w:styleId="Marquedecommentaire">
    <w:name w:val="annotation reference"/>
    <w:basedOn w:val="Policepardfaut"/>
    <w:uiPriority w:val="99"/>
    <w:semiHidden/>
    <w:unhideWhenUsed/>
    <w:rsid w:val="003C5C86"/>
    <w:rPr>
      <w:sz w:val="16"/>
      <w:szCs w:val="16"/>
    </w:rPr>
  </w:style>
  <w:style w:type="paragraph" w:styleId="Commentaire">
    <w:name w:val="annotation text"/>
    <w:basedOn w:val="Normal"/>
    <w:link w:val="CommentaireCar"/>
    <w:uiPriority w:val="99"/>
    <w:semiHidden/>
    <w:unhideWhenUsed/>
    <w:rsid w:val="003C5C86"/>
    <w:rPr>
      <w:sz w:val="20"/>
      <w:szCs w:val="20"/>
    </w:rPr>
  </w:style>
  <w:style w:type="character" w:customStyle="1" w:styleId="CommentaireCar">
    <w:name w:val="Commentaire Car"/>
    <w:basedOn w:val="Policepardfaut"/>
    <w:link w:val="Commentaire"/>
    <w:uiPriority w:val="99"/>
    <w:semiHidden/>
    <w:rsid w:val="003C5C86"/>
    <w:rPr>
      <w:rFonts w:ascii="Times New Roman" w:eastAsia="Times New Roman" w:hAnsi="Times New Roman" w:cs="Times New Roman"/>
      <w:color w:val="00000A"/>
      <w:szCs w:val="20"/>
      <w:lang w:bidi="ar-SA"/>
    </w:rPr>
  </w:style>
  <w:style w:type="paragraph" w:styleId="Objetducommentaire">
    <w:name w:val="annotation subject"/>
    <w:basedOn w:val="Commentaire"/>
    <w:next w:val="Commentaire"/>
    <w:link w:val="ObjetducommentaireCar"/>
    <w:uiPriority w:val="99"/>
    <w:semiHidden/>
    <w:unhideWhenUsed/>
    <w:rsid w:val="003C5C86"/>
    <w:rPr>
      <w:b/>
      <w:bCs/>
    </w:rPr>
  </w:style>
  <w:style w:type="character" w:customStyle="1" w:styleId="ObjetducommentaireCar">
    <w:name w:val="Objet du commentaire Car"/>
    <w:basedOn w:val="CommentaireCar"/>
    <w:link w:val="Objetducommentaire"/>
    <w:uiPriority w:val="99"/>
    <w:semiHidden/>
    <w:rsid w:val="003C5C86"/>
    <w:rPr>
      <w:rFonts w:ascii="Times New Roman" w:eastAsia="Times New Roman" w:hAnsi="Times New Roman" w:cs="Times New Roman"/>
      <w:b/>
      <w:bCs/>
      <w:color w:val="00000A"/>
      <w:szCs w:val="20"/>
      <w:lang w:bidi="ar-SA"/>
    </w:rPr>
  </w:style>
  <w:style w:type="paragraph" w:customStyle="1" w:styleId="gmail-msolistparagraph">
    <w:name w:val="gmail-msolistparagraph"/>
    <w:basedOn w:val="Normal"/>
    <w:rsid w:val="003C5C86"/>
    <w:pPr>
      <w:overflowPunct/>
      <w:spacing w:before="100" w:beforeAutospacing="1" w:after="100" w:afterAutospacing="1"/>
    </w:pPr>
    <w:rPr>
      <w:color w:val="auto"/>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219420">
      <w:bodyDiv w:val="1"/>
      <w:marLeft w:val="0"/>
      <w:marRight w:val="0"/>
      <w:marTop w:val="0"/>
      <w:marBottom w:val="0"/>
      <w:divBdr>
        <w:top w:val="none" w:sz="0" w:space="0" w:color="auto"/>
        <w:left w:val="none" w:sz="0" w:space="0" w:color="auto"/>
        <w:bottom w:val="none" w:sz="0" w:space="0" w:color="auto"/>
        <w:right w:val="none" w:sz="0" w:space="0" w:color="auto"/>
      </w:divBdr>
    </w:div>
    <w:div w:id="1362130906">
      <w:bodyDiv w:val="1"/>
      <w:marLeft w:val="0"/>
      <w:marRight w:val="0"/>
      <w:marTop w:val="0"/>
      <w:marBottom w:val="0"/>
      <w:divBdr>
        <w:top w:val="none" w:sz="0" w:space="0" w:color="auto"/>
        <w:left w:val="none" w:sz="0" w:space="0" w:color="auto"/>
        <w:bottom w:val="none" w:sz="0" w:space="0" w:color="auto"/>
        <w:right w:val="none" w:sz="0" w:space="0" w:color="auto"/>
      </w:divBdr>
      <w:divsChild>
        <w:div w:id="1375764448">
          <w:marLeft w:val="0"/>
          <w:marRight w:val="0"/>
          <w:marTop w:val="0"/>
          <w:marBottom w:val="0"/>
          <w:divBdr>
            <w:top w:val="none" w:sz="0" w:space="0" w:color="auto"/>
            <w:left w:val="none" w:sz="0" w:space="0" w:color="auto"/>
            <w:bottom w:val="none" w:sz="0" w:space="0" w:color="auto"/>
            <w:right w:val="none" w:sz="0" w:space="0" w:color="auto"/>
          </w:divBdr>
        </w:div>
        <w:div w:id="184169392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1028</Words>
  <Characters>5656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UNIVERSITÉ PANTHÉON-ASSAS (PARIS II)</vt:lpstr>
    </vt:vector>
  </TitlesOfParts>
  <Company>Antoine Gaudemet</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UNIVERSITÉ PANTHÉON-ASSAS (PARIS II)</dc:title>
  <dc:subject/>
  <dc:creator>Eva Helesbeux</dc:creator>
  <dc:description/>
  <cp:lastModifiedBy>UP2</cp:lastModifiedBy>
  <cp:revision>63</cp:revision>
  <cp:lastPrinted>2020-05-14T10:54:00Z</cp:lastPrinted>
  <dcterms:created xsi:type="dcterms:W3CDTF">2020-05-15T09:42:00Z</dcterms:created>
  <dcterms:modified xsi:type="dcterms:W3CDTF">2021-05-06T10:06:00Z</dcterms:modified>
  <dc:language>fr-FR</dc:language>
</cp:coreProperties>
</file>