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A74" w:rsidRPr="00AA1F33" w:rsidRDefault="00944A74" w:rsidP="00944A74">
      <w:pPr>
        <w:widowControl w:val="0"/>
        <w:autoSpaceDE w:val="0"/>
        <w:autoSpaceDN w:val="0"/>
        <w:adjustRightInd w:val="0"/>
        <w:rPr>
          <w:rFonts w:ascii="Arial" w:hAnsi="Arial" w:cs="Arial"/>
        </w:rPr>
      </w:pPr>
    </w:p>
    <w:p w:rsidR="00944A74" w:rsidRPr="00AA1F33" w:rsidRDefault="00944A74" w:rsidP="00944A74">
      <w:pPr>
        <w:widowControl w:val="0"/>
        <w:tabs>
          <w:tab w:val="center" w:pos="4819"/>
          <w:tab w:val="right" w:pos="9582"/>
        </w:tabs>
        <w:autoSpaceDE w:val="0"/>
        <w:autoSpaceDN w:val="0"/>
        <w:adjustRightInd w:val="0"/>
        <w:rPr>
          <w:rFonts w:ascii="Arial" w:hAnsi="Arial" w:cs="Arial"/>
          <w:b/>
          <w:bCs/>
          <w:color w:val="000000"/>
        </w:rPr>
      </w:pPr>
      <w:r w:rsidRPr="00AA1F33">
        <w:rPr>
          <w:rFonts w:ascii="Arial" w:hAnsi="Arial" w:cs="Arial"/>
        </w:rPr>
        <w:tab/>
      </w:r>
      <w:r w:rsidRPr="00AA1F33">
        <w:rPr>
          <w:rFonts w:ascii="Arial" w:hAnsi="Arial" w:cs="Arial"/>
          <w:b/>
          <w:bCs/>
          <w:color w:val="008000"/>
          <w:u w:val="single"/>
        </w:rPr>
        <w:t>Université PANTHÉON - ASSAS (PARIS II)</w:t>
      </w:r>
      <w:r w:rsidRPr="00AA1F33">
        <w:rPr>
          <w:rFonts w:ascii="Arial" w:hAnsi="Arial" w:cs="Arial"/>
        </w:rPr>
        <w:tab/>
      </w:r>
      <w:r w:rsidR="00325FF0" w:rsidRPr="00AA1F33">
        <w:rPr>
          <w:rFonts w:ascii="Arial" w:hAnsi="Arial" w:cs="Arial"/>
          <w:b/>
          <w:bCs/>
          <w:color w:val="000000"/>
        </w:rPr>
        <w:t>U</w:t>
      </w:r>
      <w:r w:rsidR="00AB6A7C" w:rsidRPr="00AA1F33">
        <w:rPr>
          <w:rFonts w:ascii="Arial" w:hAnsi="Arial" w:cs="Arial"/>
          <w:b/>
          <w:bCs/>
          <w:color w:val="000000"/>
        </w:rPr>
        <w:t>.</w:t>
      </w:r>
      <w:r w:rsidR="004F6AF8" w:rsidRPr="00AA1F33">
        <w:rPr>
          <w:rFonts w:ascii="Arial" w:hAnsi="Arial" w:cs="Arial"/>
          <w:b/>
          <w:bCs/>
          <w:color w:val="000000"/>
        </w:rPr>
        <w:t>E</w:t>
      </w:r>
      <w:r w:rsidR="00AB6A7C" w:rsidRPr="00AA1F33">
        <w:rPr>
          <w:rFonts w:ascii="Arial" w:hAnsi="Arial" w:cs="Arial"/>
          <w:b/>
          <w:bCs/>
          <w:color w:val="000000"/>
        </w:rPr>
        <w:t>.</w:t>
      </w:r>
      <w:r w:rsidR="003B417D" w:rsidRPr="00AA1F33">
        <w:rPr>
          <w:rFonts w:ascii="Arial" w:hAnsi="Arial" w:cs="Arial"/>
          <w:b/>
          <w:bCs/>
          <w:color w:val="000000"/>
        </w:rPr>
        <w:t>F</w:t>
      </w:r>
      <w:r w:rsidR="00AB6A7C" w:rsidRPr="00AA1F33">
        <w:rPr>
          <w:rFonts w:ascii="Arial" w:hAnsi="Arial" w:cs="Arial"/>
          <w:b/>
          <w:bCs/>
          <w:color w:val="000000"/>
        </w:rPr>
        <w:t>. 2</w:t>
      </w:r>
    </w:p>
    <w:p w:rsidR="00944A74" w:rsidRPr="00AA1F33" w:rsidRDefault="00944A74" w:rsidP="00944A74">
      <w:pPr>
        <w:widowControl w:val="0"/>
        <w:autoSpaceDE w:val="0"/>
        <w:autoSpaceDN w:val="0"/>
        <w:adjustRightInd w:val="0"/>
        <w:rPr>
          <w:rFonts w:ascii="Arial" w:hAnsi="Arial" w:cs="Arial"/>
          <w:b/>
          <w:bCs/>
          <w:color w:val="000000"/>
        </w:rPr>
      </w:pPr>
    </w:p>
    <w:p w:rsidR="00944A74" w:rsidRPr="00AA1F33" w:rsidRDefault="00944A74" w:rsidP="00944A74">
      <w:pPr>
        <w:widowControl w:val="0"/>
        <w:autoSpaceDE w:val="0"/>
        <w:autoSpaceDN w:val="0"/>
        <w:adjustRightInd w:val="0"/>
        <w:rPr>
          <w:rFonts w:ascii="Arial" w:hAnsi="Arial" w:cs="Arial"/>
          <w:b/>
          <w:bCs/>
          <w:color w:val="000000"/>
        </w:rPr>
      </w:pPr>
    </w:p>
    <w:p w:rsidR="00944A74" w:rsidRPr="00AA1F33" w:rsidRDefault="00944A74" w:rsidP="00944A74">
      <w:pPr>
        <w:widowControl w:val="0"/>
        <w:tabs>
          <w:tab w:val="center" w:pos="4821"/>
          <w:tab w:val="right" w:pos="9582"/>
        </w:tabs>
        <w:autoSpaceDE w:val="0"/>
        <w:autoSpaceDN w:val="0"/>
        <w:adjustRightInd w:val="0"/>
        <w:rPr>
          <w:rFonts w:ascii="Arial" w:hAnsi="Arial" w:cs="Arial"/>
          <w:b/>
          <w:bCs/>
          <w:color w:val="000000"/>
        </w:rPr>
      </w:pPr>
      <w:r w:rsidRPr="00AA1F33">
        <w:rPr>
          <w:rFonts w:ascii="Arial" w:hAnsi="Arial" w:cs="Arial"/>
        </w:rPr>
        <w:tab/>
      </w:r>
      <w:r w:rsidRPr="00AA1F33">
        <w:rPr>
          <w:rFonts w:ascii="Arial" w:hAnsi="Arial" w:cs="Arial"/>
          <w:b/>
          <w:bCs/>
          <w:color w:val="800000"/>
          <w:u w:val="single"/>
        </w:rPr>
        <w:t>Droit - Economie - Sciences Sociales</w:t>
      </w:r>
      <w:r w:rsidR="00287920">
        <w:rPr>
          <w:rFonts w:ascii="Arial" w:hAnsi="Arial" w:cs="Arial"/>
        </w:rPr>
        <w:tab/>
        <w:t>1043</w:t>
      </w:r>
    </w:p>
    <w:p w:rsidR="00944A74" w:rsidRPr="00AA1F33" w:rsidRDefault="00944A74" w:rsidP="00944A74">
      <w:pPr>
        <w:widowControl w:val="0"/>
        <w:autoSpaceDE w:val="0"/>
        <w:autoSpaceDN w:val="0"/>
        <w:adjustRightInd w:val="0"/>
        <w:rPr>
          <w:rFonts w:ascii="Arial" w:hAnsi="Arial" w:cs="Arial"/>
          <w:b/>
          <w:bCs/>
          <w:color w:val="000000"/>
        </w:rPr>
      </w:pPr>
    </w:p>
    <w:p w:rsidR="00944A74" w:rsidRPr="00AA1F33" w:rsidRDefault="00944A74" w:rsidP="00944A74">
      <w:pPr>
        <w:widowControl w:val="0"/>
        <w:autoSpaceDE w:val="0"/>
        <w:autoSpaceDN w:val="0"/>
        <w:adjustRightInd w:val="0"/>
        <w:rPr>
          <w:rFonts w:ascii="Arial" w:hAnsi="Arial" w:cs="Arial"/>
          <w:b/>
          <w:bCs/>
          <w:color w:val="000000"/>
        </w:rPr>
      </w:pPr>
    </w:p>
    <w:p w:rsidR="00944A74" w:rsidRPr="00AA1F33" w:rsidRDefault="00944A74" w:rsidP="00944A74">
      <w:pPr>
        <w:widowControl w:val="0"/>
        <w:tabs>
          <w:tab w:val="left" w:pos="62"/>
        </w:tabs>
        <w:autoSpaceDE w:val="0"/>
        <w:autoSpaceDN w:val="0"/>
        <w:adjustRightInd w:val="0"/>
        <w:rPr>
          <w:rFonts w:ascii="Arial" w:hAnsi="Arial" w:cs="Arial"/>
          <w:color w:val="000000"/>
        </w:rPr>
      </w:pPr>
      <w:r w:rsidRPr="00AA1F33">
        <w:rPr>
          <w:rFonts w:ascii="Arial" w:hAnsi="Arial" w:cs="Arial"/>
        </w:rPr>
        <w:tab/>
      </w:r>
      <w:r w:rsidR="004F6AF8" w:rsidRPr="00AA1F33">
        <w:rPr>
          <w:rFonts w:ascii="Arial" w:hAnsi="Arial" w:cs="Arial"/>
          <w:color w:val="000000"/>
        </w:rPr>
        <w:t>Paris</w:t>
      </w:r>
    </w:p>
    <w:p w:rsidR="00944A74" w:rsidRPr="00AA1F33" w:rsidRDefault="00944A74" w:rsidP="00944A74">
      <w:pPr>
        <w:widowControl w:val="0"/>
        <w:autoSpaceDE w:val="0"/>
        <w:autoSpaceDN w:val="0"/>
        <w:adjustRightInd w:val="0"/>
        <w:rPr>
          <w:rFonts w:ascii="Arial" w:hAnsi="Arial" w:cs="Arial"/>
          <w:color w:val="000000"/>
        </w:rPr>
      </w:pPr>
    </w:p>
    <w:p w:rsidR="00944A74" w:rsidRPr="00AA1F33" w:rsidRDefault="00944A74" w:rsidP="00944A74">
      <w:pPr>
        <w:widowControl w:val="0"/>
        <w:autoSpaceDE w:val="0"/>
        <w:autoSpaceDN w:val="0"/>
        <w:adjustRightInd w:val="0"/>
        <w:rPr>
          <w:rFonts w:ascii="Arial" w:hAnsi="Arial" w:cs="Arial"/>
          <w:color w:val="000000"/>
        </w:rPr>
      </w:pPr>
    </w:p>
    <w:p w:rsidR="00944A74" w:rsidRPr="00AA1F33" w:rsidRDefault="00944A74" w:rsidP="00944A74">
      <w:pPr>
        <w:widowControl w:val="0"/>
        <w:autoSpaceDE w:val="0"/>
        <w:autoSpaceDN w:val="0"/>
        <w:adjustRightInd w:val="0"/>
        <w:rPr>
          <w:rFonts w:ascii="Arial" w:hAnsi="Arial" w:cs="Arial"/>
          <w:color w:val="000000"/>
        </w:rPr>
      </w:pPr>
    </w:p>
    <w:p w:rsidR="00944A74" w:rsidRPr="00AA1F33" w:rsidRDefault="00944A74" w:rsidP="00944A74">
      <w:pPr>
        <w:widowControl w:val="0"/>
        <w:tabs>
          <w:tab w:val="left" w:pos="56"/>
          <w:tab w:val="left" w:pos="2688"/>
        </w:tabs>
        <w:autoSpaceDE w:val="0"/>
        <w:autoSpaceDN w:val="0"/>
        <w:adjustRightInd w:val="0"/>
        <w:rPr>
          <w:rFonts w:ascii="Arial" w:hAnsi="Arial" w:cs="Arial"/>
          <w:color w:val="000000"/>
        </w:rPr>
      </w:pPr>
      <w:r w:rsidRPr="00AA1F33">
        <w:rPr>
          <w:rFonts w:ascii="Arial" w:hAnsi="Arial" w:cs="Arial"/>
        </w:rPr>
        <w:tab/>
      </w:r>
      <w:r w:rsidRPr="00AA1F33">
        <w:rPr>
          <w:rFonts w:ascii="Arial" w:hAnsi="Arial" w:cs="Arial"/>
          <w:b/>
          <w:bCs/>
          <w:color w:val="000000"/>
        </w:rPr>
        <w:t xml:space="preserve">Session : </w:t>
      </w:r>
      <w:r w:rsidRPr="00AA1F33">
        <w:rPr>
          <w:rFonts w:ascii="Arial" w:hAnsi="Arial" w:cs="Arial"/>
        </w:rPr>
        <w:tab/>
      </w:r>
      <w:r w:rsidR="00BB4C4E" w:rsidRPr="00AA1F33">
        <w:rPr>
          <w:rFonts w:ascii="Arial" w:hAnsi="Arial" w:cs="Arial"/>
          <w:color w:val="000000"/>
        </w:rPr>
        <w:t>Mai- Juin</w:t>
      </w:r>
      <w:r w:rsidRPr="00AA1F33">
        <w:rPr>
          <w:rFonts w:ascii="Arial" w:hAnsi="Arial" w:cs="Arial"/>
          <w:color w:val="000000"/>
        </w:rPr>
        <w:t xml:space="preserve"> 2021</w:t>
      </w:r>
    </w:p>
    <w:p w:rsidR="00944A74" w:rsidRPr="00AA1F33" w:rsidRDefault="00944A74" w:rsidP="00944A74">
      <w:pPr>
        <w:widowControl w:val="0"/>
        <w:autoSpaceDE w:val="0"/>
        <w:autoSpaceDN w:val="0"/>
        <w:adjustRightInd w:val="0"/>
        <w:rPr>
          <w:rFonts w:ascii="Arial" w:hAnsi="Arial" w:cs="Arial"/>
          <w:color w:val="000000"/>
        </w:rPr>
      </w:pPr>
    </w:p>
    <w:p w:rsidR="00944A74" w:rsidRPr="00AA1F33" w:rsidRDefault="00944A74" w:rsidP="00944A74">
      <w:pPr>
        <w:widowControl w:val="0"/>
        <w:autoSpaceDE w:val="0"/>
        <w:autoSpaceDN w:val="0"/>
        <w:adjustRightInd w:val="0"/>
        <w:rPr>
          <w:rFonts w:ascii="Arial" w:hAnsi="Arial" w:cs="Arial"/>
          <w:color w:val="000000"/>
        </w:rPr>
      </w:pPr>
    </w:p>
    <w:p w:rsidR="00944A74" w:rsidRPr="00AA1F33" w:rsidRDefault="00944A74" w:rsidP="00944A74">
      <w:pPr>
        <w:widowControl w:val="0"/>
        <w:autoSpaceDE w:val="0"/>
        <w:autoSpaceDN w:val="0"/>
        <w:adjustRightInd w:val="0"/>
        <w:rPr>
          <w:rFonts w:ascii="Arial" w:hAnsi="Arial" w:cs="Arial"/>
          <w:color w:val="000000"/>
        </w:rPr>
      </w:pPr>
    </w:p>
    <w:p w:rsidR="00944A74" w:rsidRPr="00AA1F33" w:rsidRDefault="00944A74" w:rsidP="00944A74">
      <w:pPr>
        <w:widowControl w:val="0"/>
        <w:tabs>
          <w:tab w:val="left" w:pos="56"/>
          <w:tab w:val="left" w:pos="2688"/>
        </w:tabs>
        <w:autoSpaceDE w:val="0"/>
        <w:autoSpaceDN w:val="0"/>
        <w:adjustRightInd w:val="0"/>
        <w:rPr>
          <w:rFonts w:ascii="Arial" w:hAnsi="Arial" w:cs="Arial"/>
          <w:color w:val="000000"/>
        </w:rPr>
      </w:pPr>
      <w:r w:rsidRPr="00AA1F33">
        <w:rPr>
          <w:rFonts w:ascii="Arial" w:hAnsi="Arial" w:cs="Arial"/>
        </w:rPr>
        <w:tab/>
      </w:r>
      <w:r w:rsidRPr="00AA1F33">
        <w:rPr>
          <w:rFonts w:ascii="Arial" w:hAnsi="Arial" w:cs="Arial"/>
          <w:b/>
          <w:bCs/>
          <w:color w:val="000000"/>
        </w:rPr>
        <w:t xml:space="preserve">Année d'étude : </w:t>
      </w:r>
      <w:r w:rsidRPr="00AA1F33">
        <w:rPr>
          <w:rFonts w:ascii="Arial" w:hAnsi="Arial" w:cs="Arial"/>
        </w:rPr>
        <w:tab/>
      </w:r>
      <w:r w:rsidR="00AF666B" w:rsidRPr="00AA1F33">
        <w:rPr>
          <w:rFonts w:ascii="Arial" w:hAnsi="Arial" w:cs="Arial"/>
        </w:rPr>
        <w:t>Première année de Master Droit</w:t>
      </w:r>
    </w:p>
    <w:p w:rsidR="00944A74" w:rsidRPr="00AA1F33" w:rsidRDefault="00944A74" w:rsidP="00944A74">
      <w:pPr>
        <w:widowControl w:val="0"/>
        <w:autoSpaceDE w:val="0"/>
        <w:autoSpaceDN w:val="0"/>
        <w:adjustRightInd w:val="0"/>
        <w:rPr>
          <w:rFonts w:ascii="Arial" w:hAnsi="Arial" w:cs="Arial"/>
          <w:color w:val="000000"/>
        </w:rPr>
      </w:pPr>
    </w:p>
    <w:p w:rsidR="00944A74" w:rsidRPr="00AA1F33" w:rsidRDefault="00944A74" w:rsidP="00944A74">
      <w:pPr>
        <w:widowControl w:val="0"/>
        <w:autoSpaceDE w:val="0"/>
        <w:autoSpaceDN w:val="0"/>
        <w:adjustRightInd w:val="0"/>
        <w:rPr>
          <w:rFonts w:ascii="Arial" w:hAnsi="Arial" w:cs="Arial"/>
          <w:color w:val="000000"/>
        </w:rPr>
      </w:pPr>
    </w:p>
    <w:p w:rsidR="00944A74" w:rsidRPr="00AA1F33" w:rsidRDefault="00944A74" w:rsidP="00944A74">
      <w:pPr>
        <w:widowControl w:val="0"/>
        <w:autoSpaceDE w:val="0"/>
        <w:autoSpaceDN w:val="0"/>
        <w:adjustRightInd w:val="0"/>
        <w:rPr>
          <w:rFonts w:ascii="Arial" w:hAnsi="Arial" w:cs="Arial"/>
          <w:color w:val="000000"/>
        </w:rPr>
      </w:pPr>
    </w:p>
    <w:p w:rsidR="00944A74" w:rsidRPr="00AA1F33" w:rsidRDefault="00944A74" w:rsidP="00944A74">
      <w:pPr>
        <w:widowControl w:val="0"/>
        <w:tabs>
          <w:tab w:val="left" w:pos="56"/>
          <w:tab w:val="left" w:pos="2688"/>
        </w:tabs>
        <w:autoSpaceDE w:val="0"/>
        <w:autoSpaceDN w:val="0"/>
        <w:adjustRightInd w:val="0"/>
        <w:rPr>
          <w:rFonts w:ascii="Arial" w:hAnsi="Arial" w:cs="Arial"/>
          <w:b/>
          <w:bCs/>
          <w:i/>
          <w:iCs/>
          <w:color w:val="000000"/>
        </w:rPr>
      </w:pPr>
      <w:r w:rsidRPr="00AA1F33">
        <w:rPr>
          <w:rFonts w:ascii="Arial" w:hAnsi="Arial" w:cs="Arial"/>
        </w:rPr>
        <w:tab/>
      </w:r>
      <w:r w:rsidRPr="00AA1F33">
        <w:rPr>
          <w:rFonts w:ascii="Arial" w:hAnsi="Arial" w:cs="Arial"/>
          <w:b/>
          <w:bCs/>
          <w:color w:val="000000"/>
        </w:rPr>
        <w:t xml:space="preserve">Discipline : </w:t>
      </w:r>
      <w:r w:rsidRPr="00AA1F33">
        <w:rPr>
          <w:rFonts w:ascii="Arial" w:hAnsi="Arial" w:cs="Arial"/>
        </w:rPr>
        <w:tab/>
      </w:r>
      <w:r w:rsidR="00AF666B" w:rsidRPr="00AA1F33">
        <w:rPr>
          <w:rFonts w:ascii="Arial" w:hAnsi="Arial" w:cs="Arial"/>
        </w:rPr>
        <w:t>Droit européen des affaires</w:t>
      </w:r>
    </w:p>
    <w:p w:rsidR="00944A74" w:rsidRPr="00AA1F33" w:rsidRDefault="00944A74" w:rsidP="00944A74">
      <w:pPr>
        <w:widowControl w:val="0"/>
        <w:autoSpaceDE w:val="0"/>
        <w:autoSpaceDN w:val="0"/>
        <w:adjustRightInd w:val="0"/>
        <w:rPr>
          <w:rFonts w:ascii="Arial" w:hAnsi="Arial" w:cs="Arial"/>
          <w:b/>
          <w:bCs/>
          <w:i/>
          <w:iCs/>
          <w:color w:val="000000"/>
        </w:rPr>
      </w:pPr>
    </w:p>
    <w:p w:rsidR="00CD2095" w:rsidRPr="00AA1F33" w:rsidRDefault="00CD2095" w:rsidP="00CD2095">
      <w:pPr>
        <w:widowControl w:val="0"/>
        <w:tabs>
          <w:tab w:val="left" w:pos="2688"/>
        </w:tabs>
        <w:autoSpaceDE w:val="0"/>
        <w:autoSpaceDN w:val="0"/>
        <w:adjustRightInd w:val="0"/>
        <w:rPr>
          <w:rFonts w:ascii="Arial" w:hAnsi="Arial" w:cs="Arial"/>
          <w:color w:val="000000"/>
        </w:rPr>
      </w:pPr>
      <w:r w:rsidRPr="00AA1F33">
        <w:rPr>
          <w:rFonts w:ascii="Arial" w:hAnsi="Arial" w:cs="Arial"/>
        </w:rPr>
        <w:tab/>
        <w:t xml:space="preserve">(Unités d’Enseignements </w:t>
      </w:r>
      <w:r w:rsidR="003B417D" w:rsidRPr="00AA1F33">
        <w:rPr>
          <w:rFonts w:ascii="Arial" w:hAnsi="Arial" w:cs="Arial"/>
        </w:rPr>
        <w:t>Fondamentaux</w:t>
      </w:r>
      <w:r w:rsidRPr="00AA1F33">
        <w:rPr>
          <w:rFonts w:ascii="Arial" w:hAnsi="Arial" w:cs="Arial"/>
        </w:rPr>
        <w:t xml:space="preserve"> 2)</w:t>
      </w:r>
    </w:p>
    <w:p w:rsidR="00944A74" w:rsidRPr="00AA1F33" w:rsidRDefault="00944A74" w:rsidP="00944A74">
      <w:pPr>
        <w:widowControl w:val="0"/>
        <w:tabs>
          <w:tab w:val="left" w:pos="2688"/>
        </w:tabs>
        <w:autoSpaceDE w:val="0"/>
        <w:autoSpaceDN w:val="0"/>
        <w:adjustRightInd w:val="0"/>
        <w:rPr>
          <w:rFonts w:ascii="Arial" w:hAnsi="Arial" w:cs="Arial"/>
          <w:color w:val="000000"/>
        </w:rPr>
      </w:pPr>
    </w:p>
    <w:p w:rsidR="00944A74" w:rsidRPr="00AA1F33" w:rsidRDefault="00944A74" w:rsidP="00944A74">
      <w:pPr>
        <w:widowControl w:val="0"/>
        <w:autoSpaceDE w:val="0"/>
        <w:autoSpaceDN w:val="0"/>
        <w:adjustRightInd w:val="0"/>
        <w:rPr>
          <w:rFonts w:ascii="Arial" w:hAnsi="Arial" w:cs="Arial"/>
          <w:color w:val="000000"/>
        </w:rPr>
      </w:pPr>
    </w:p>
    <w:p w:rsidR="005B4453" w:rsidRDefault="005B4453" w:rsidP="006E78FF">
      <w:pPr>
        <w:widowControl w:val="0"/>
        <w:tabs>
          <w:tab w:val="left" w:pos="56"/>
          <w:tab w:val="left" w:pos="2694"/>
        </w:tabs>
        <w:autoSpaceDE w:val="0"/>
        <w:autoSpaceDN w:val="0"/>
        <w:adjustRightInd w:val="0"/>
        <w:rPr>
          <w:rFonts w:ascii="Arial" w:hAnsi="Arial" w:cs="Arial"/>
          <w:color w:val="000000"/>
        </w:rPr>
      </w:pPr>
    </w:p>
    <w:p w:rsidR="00944A74" w:rsidRPr="00AA1F33" w:rsidRDefault="00944A74" w:rsidP="006E78FF">
      <w:pPr>
        <w:widowControl w:val="0"/>
        <w:tabs>
          <w:tab w:val="left" w:pos="56"/>
          <w:tab w:val="left" w:pos="2694"/>
        </w:tabs>
        <w:autoSpaceDE w:val="0"/>
        <w:autoSpaceDN w:val="0"/>
        <w:adjustRightInd w:val="0"/>
        <w:rPr>
          <w:rFonts w:ascii="Arial" w:hAnsi="Arial" w:cs="Arial"/>
          <w:b/>
          <w:bCs/>
          <w:color w:val="000000"/>
        </w:rPr>
      </w:pPr>
      <w:bookmarkStart w:id="0" w:name="_GoBack"/>
      <w:bookmarkEnd w:id="0"/>
      <w:r w:rsidRPr="00AA1F33">
        <w:rPr>
          <w:rFonts w:ascii="Arial" w:hAnsi="Arial" w:cs="Arial"/>
          <w:b/>
          <w:bCs/>
          <w:color w:val="000000"/>
        </w:rPr>
        <w:t xml:space="preserve">Titulaire(s) du cours : </w:t>
      </w:r>
      <w:r w:rsidR="006E78FF" w:rsidRPr="00AA1F33">
        <w:rPr>
          <w:rFonts w:ascii="Arial" w:hAnsi="Arial" w:cs="Arial"/>
          <w:b/>
          <w:bCs/>
          <w:color w:val="000000"/>
        </w:rPr>
        <w:tab/>
      </w:r>
      <w:r w:rsidR="00AF666B" w:rsidRPr="00AA1F33">
        <w:rPr>
          <w:rFonts w:ascii="Arial" w:hAnsi="Arial" w:cs="Arial"/>
          <w:b/>
          <w:bCs/>
          <w:color w:val="000000"/>
        </w:rPr>
        <w:t>Joël Cavallini</w:t>
      </w:r>
    </w:p>
    <w:p w:rsidR="00944A74" w:rsidRPr="00AA1F33" w:rsidRDefault="00944A74" w:rsidP="00944A74">
      <w:pPr>
        <w:widowControl w:val="0"/>
        <w:autoSpaceDE w:val="0"/>
        <w:autoSpaceDN w:val="0"/>
        <w:adjustRightInd w:val="0"/>
        <w:rPr>
          <w:rFonts w:ascii="Arial" w:hAnsi="Arial" w:cs="Arial"/>
          <w:b/>
          <w:bCs/>
          <w:color w:val="000000"/>
        </w:rPr>
      </w:pPr>
    </w:p>
    <w:p w:rsidR="00944A74" w:rsidRPr="00AA1F33" w:rsidRDefault="00944A74" w:rsidP="00944A74">
      <w:pPr>
        <w:widowControl w:val="0"/>
        <w:tabs>
          <w:tab w:val="left" w:pos="2509"/>
        </w:tabs>
        <w:autoSpaceDE w:val="0"/>
        <w:autoSpaceDN w:val="0"/>
        <w:adjustRightInd w:val="0"/>
        <w:rPr>
          <w:rFonts w:ascii="Arial" w:hAnsi="Arial" w:cs="Arial"/>
          <w:color w:val="000000"/>
        </w:rPr>
      </w:pPr>
      <w:r w:rsidRPr="00AA1F33">
        <w:rPr>
          <w:rFonts w:ascii="Arial" w:hAnsi="Arial" w:cs="Arial"/>
        </w:rPr>
        <w:tab/>
      </w:r>
    </w:p>
    <w:p w:rsidR="00944A74" w:rsidRPr="00AA1F33" w:rsidRDefault="00944A74" w:rsidP="00944A74">
      <w:pPr>
        <w:widowControl w:val="0"/>
        <w:autoSpaceDE w:val="0"/>
        <w:autoSpaceDN w:val="0"/>
        <w:adjustRightInd w:val="0"/>
        <w:rPr>
          <w:rFonts w:ascii="Arial" w:hAnsi="Arial" w:cs="Arial"/>
          <w:color w:val="000000"/>
        </w:rPr>
      </w:pPr>
    </w:p>
    <w:p w:rsidR="00110FE2" w:rsidRPr="00AA1F33" w:rsidRDefault="00110FE2" w:rsidP="006E78FF">
      <w:pPr>
        <w:widowControl w:val="0"/>
        <w:tabs>
          <w:tab w:val="left" w:pos="56"/>
          <w:tab w:val="left" w:pos="2694"/>
        </w:tabs>
        <w:autoSpaceDE w:val="0"/>
        <w:autoSpaceDN w:val="0"/>
        <w:adjustRightInd w:val="0"/>
        <w:rPr>
          <w:rFonts w:ascii="Arial" w:hAnsi="Arial" w:cs="Arial"/>
          <w:b/>
        </w:rPr>
      </w:pPr>
      <w:r w:rsidRPr="00AA1F33">
        <w:rPr>
          <w:rFonts w:ascii="Arial" w:hAnsi="Arial" w:cs="Arial"/>
          <w:b/>
        </w:rPr>
        <w:t xml:space="preserve">Durée de l’épreuve : </w:t>
      </w:r>
      <w:r w:rsidR="006E78FF" w:rsidRPr="00AA1F33">
        <w:rPr>
          <w:rFonts w:ascii="Arial" w:hAnsi="Arial" w:cs="Arial"/>
          <w:b/>
        </w:rPr>
        <w:tab/>
      </w:r>
      <w:r w:rsidR="00AF666B" w:rsidRPr="00AA1F33">
        <w:rPr>
          <w:rFonts w:ascii="Arial" w:hAnsi="Arial" w:cs="Arial"/>
          <w:b/>
        </w:rPr>
        <w:t>2h</w:t>
      </w:r>
    </w:p>
    <w:p w:rsidR="00110FE2" w:rsidRPr="00AA1F33" w:rsidRDefault="00110FE2" w:rsidP="00944A74">
      <w:pPr>
        <w:widowControl w:val="0"/>
        <w:tabs>
          <w:tab w:val="left" w:pos="56"/>
        </w:tabs>
        <w:autoSpaceDE w:val="0"/>
        <w:autoSpaceDN w:val="0"/>
        <w:adjustRightInd w:val="0"/>
        <w:rPr>
          <w:rFonts w:ascii="Arial" w:hAnsi="Arial" w:cs="Arial"/>
        </w:rPr>
      </w:pPr>
    </w:p>
    <w:p w:rsidR="00AE726E" w:rsidRPr="00AA1F33" w:rsidRDefault="00AE726E" w:rsidP="00944A74">
      <w:pPr>
        <w:widowControl w:val="0"/>
        <w:tabs>
          <w:tab w:val="left" w:pos="56"/>
        </w:tabs>
        <w:autoSpaceDE w:val="0"/>
        <w:autoSpaceDN w:val="0"/>
        <w:adjustRightInd w:val="0"/>
        <w:rPr>
          <w:rFonts w:ascii="Arial" w:hAnsi="Arial" w:cs="Arial"/>
        </w:rPr>
      </w:pPr>
    </w:p>
    <w:p w:rsidR="00AF666B" w:rsidRPr="00AA1F33" w:rsidRDefault="00944A74" w:rsidP="00AF666B">
      <w:pPr>
        <w:pStyle w:val="Sansinterligne"/>
        <w:rPr>
          <w:rFonts w:ascii="Arial" w:hAnsi="Arial" w:cs="Arial"/>
          <w:sz w:val="24"/>
          <w:szCs w:val="24"/>
        </w:rPr>
      </w:pPr>
      <w:r w:rsidRPr="00AA1F33">
        <w:rPr>
          <w:rFonts w:ascii="Arial" w:hAnsi="Arial" w:cs="Arial"/>
          <w:b/>
          <w:bCs/>
          <w:color w:val="000000"/>
          <w:sz w:val="24"/>
          <w:szCs w:val="24"/>
        </w:rPr>
        <w:t xml:space="preserve">Document(s) autorisé(s) : </w:t>
      </w:r>
      <w:r w:rsidR="00AF666B" w:rsidRPr="00AA1F33">
        <w:rPr>
          <w:rFonts w:ascii="Arial" w:hAnsi="Arial" w:cs="Arial"/>
          <w:sz w:val="24"/>
          <w:szCs w:val="24"/>
        </w:rPr>
        <w:t>Le Traité sur le fonctionnement de l’Union européenne et les dictionnaires bilingues.</w:t>
      </w:r>
    </w:p>
    <w:p w:rsidR="00944A74" w:rsidRPr="00AA1F33" w:rsidRDefault="00944A74" w:rsidP="00944A74">
      <w:pPr>
        <w:widowControl w:val="0"/>
        <w:tabs>
          <w:tab w:val="left" w:pos="56"/>
        </w:tabs>
        <w:autoSpaceDE w:val="0"/>
        <w:autoSpaceDN w:val="0"/>
        <w:adjustRightInd w:val="0"/>
        <w:rPr>
          <w:rFonts w:ascii="Arial" w:hAnsi="Arial" w:cs="Arial"/>
          <w:b/>
          <w:bCs/>
          <w:color w:val="000000"/>
        </w:rPr>
      </w:pPr>
    </w:p>
    <w:p w:rsidR="00C62AB8" w:rsidRPr="00AA1F33" w:rsidRDefault="00C62AB8" w:rsidP="00C62AB8">
      <w:pPr>
        <w:rPr>
          <w:rFonts w:ascii="Arial" w:hAnsi="Arial" w:cs="Arial"/>
        </w:rPr>
      </w:pPr>
    </w:p>
    <w:p w:rsidR="00AF666B" w:rsidRPr="00AA1F33" w:rsidRDefault="00B32DD9" w:rsidP="00C62AB8">
      <w:pPr>
        <w:rPr>
          <w:rFonts w:ascii="Arial" w:hAnsi="Arial" w:cs="Arial"/>
          <w:b/>
          <w:u w:val="single"/>
        </w:rPr>
      </w:pPr>
      <w:r>
        <w:rPr>
          <w:rFonts w:ascii="Arial" w:hAnsi="Arial" w:cs="Arial"/>
          <w:b/>
          <w:u w:val="single"/>
        </w:rPr>
        <w:t>Sujet unique</w:t>
      </w:r>
      <w:r w:rsidR="00AF666B" w:rsidRPr="00AA1F33">
        <w:rPr>
          <w:rFonts w:ascii="Arial" w:hAnsi="Arial" w:cs="Arial"/>
          <w:b/>
          <w:u w:val="single"/>
        </w:rPr>
        <w:t>:</w:t>
      </w:r>
    </w:p>
    <w:p w:rsidR="00AF666B" w:rsidRPr="00AA1F33" w:rsidRDefault="00AF666B" w:rsidP="00C62AB8">
      <w:pPr>
        <w:rPr>
          <w:rFonts w:ascii="Arial" w:hAnsi="Arial" w:cs="Arial"/>
        </w:rPr>
      </w:pPr>
    </w:p>
    <w:p w:rsidR="00AA1F33" w:rsidRPr="0080144B" w:rsidRDefault="00AF666B" w:rsidP="00043BF9">
      <w:pPr>
        <w:jc w:val="both"/>
        <w:rPr>
          <w:rFonts w:ascii="Arial" w:hAnsi="Arial" w:cs="Arial"/>
          <w:b/>
        </w:rPr>
      </w:pPr>
      <w:r w:rsidRPr="00AA1F33">
        <w:rPr>
          <w:rFonts w:ascii="Arial" w:hAnsi="Arial" w:cs="Arial"/>
          <w:b/>
        </w:rPr>
        <w:t>Expliquez</w:t>
      </w:r>
      <w:r w:rsidR="00AA1F33" w:rsidRPr="00AA1F33">
        <w:rPr>
          <w:rFonts w:ascii="Arial" w:hAnsi="Arial" w:cs="Arial"/>
          <w:b/>
        </w:rPr>
        <w:t xml:space="preserve"> la solution</w:t>
      </w:r>
      <w:r w:rsidRPr="00AA1F33">
        <w:rPr>
          <w:rFonts w:ascii="Arial" w:hAnsi="Arial" w:cs="Arial"/>
          <w:b/>
        </w:rPr>
        <w:t xml:space="preserve"> de l’arrêt </w:t>
      </w:r>
      <w:r w:rsidRPr="00043BF9">
        <w:rPr>
          <w:rFonts w:ascii="Arial" w:hAnsi="Arial" w:cs="Arial"/>
        </w:rPr>
        <w:t>(extraits)</w:t>
      </w:r>
      <w:r w:rsidRPr="00AA1F33">
        <w:rPr>
          <w:rFonts w:ascii="Arial" w:hAnsi="Arial" w:cs="Arial"/>
          <w:b/>
        </w:rPr>
        <w:t xml:space="preserve"> </w:t>
      </w:r>
      <w:r w:rsidR="00043BF9">
        <w:rPr>
          <w:rFonts w:ascii="Arial" w:hAnsi="Arial" w:cs="Arial"/>
          <w:b/>
        </w:rPr>
        <w:t>rendu par la Cour de Justice de l’Union européenne le</w:t>
      </w:r>
      <w:r w:rsidRPr="00AA1F33">
        <w:rPr>
          <w:rFonts w:ascii="Arial" w:hAnsi="Arial" w:cs="Arial"/>
          <w:b/>
        </w:rPr>
        <w:t xml:space="preserve"> 3 mars 2020, Google Ireland</w:t>
      </w:r>
      <w:r w:rsidR="00AA1F33">
        <w:rPr>
          <w:rFonts w:ascii="Arial" w:hAnsi="Arial" w:cs="Arial"/>
          <w:b/>
        </w:rPr>
        <w:t xml:space="preserve"> </w:t>
      </w:r>
      <w:r w:rsidR="0080144B">
        <w:rPr>
          <w:rFonts w:ascii="Arial" w:hAnsi="Arial" w:cs="Arial"/>
        </w:rPr>
        <w:t>(la forme est libre, i</w:t>
      </w:r>
      <w:r w:rsidR="0080144B" w:rsidRPr="00AA1F33">
        <w:rPr>
          <w:rFonts w:ascii="Arial" w:hAnsi="Arial" w:cs="Arial"/>
        </w:rPr>
        <w:t xml:space="preserve">l n’est pas demandé de </w:t>
      </w:r>
      <w:r w:rsidR="0080144B">
        <w:rPr>
          <w:rFonts w:ascii="Arial" w:hAnsi="Arial" w:cs="Arial"/>
        </w:rPr>
        <w:t xml:space="preserve">faire un </w:t>
      </w:r>
      <w:r w:rsidR="0080144B" w:rsidRPr="00AA1F33">
        <w:rPr>
          <w:rFonts w:ascii="Arial" w:hAnsi="Arial" w:cs="Arial"/>
        </w:rPr>
        <w:t>plan de commentaire d’arrêt)</w:t>
      </w:r>
    </w:p>
    <w:p w:rsidR="00AA1F33" w:rsidRPr="00AA1F33" w:rsidRDefault="00AA1F33" w:rsidP="00AA1F33">
      <w:pPr>
        <w:pStyle w:val="Sansinterligne"/>
        <w:jc w:val="both"/>
        <w:rPr>
          <w:rFonts w:ascii="Arial" w:hAnsi="Arial" w:cs="Arial"/>
          <w:bCs/>
          <w:i/>
          <w:iCs/>
          <w:sz w:val="24"/>
          <w:szCs w:val="24"/>
        </w:rPr>
      </w:pPr>
    </w:p>
    <w:p w:rsidR="00AA1F33" w:rsidRPr="00AA1F33" w:rsidRDefault="00AA1F33" w:rsidP="00AA1F33">
      <w:pPr>
        <w:pStyle w:val="Sansinterligne"/>
        <w:jc w:val="both"/>
        <w:rPr>
          <w:rFonts w:ascii="Arial" w:hAnsi="Arial" w:cs="Arial"/>
          <w:bCs/>
          <w:i/>
          <w:iCs/>
          <w:sz w:val="24"/>
          <w:szCs w:val="24"/>
        </w:rPr>
      </w:pPr>
      <w:r w:rsidRPr="00AA1F33">
        <w:rPr>
          <w:rFonts w:ascii="Arial" w:hAnsi="Arial" w:cs="Arial"/>
          <w:bCs/>
          <w:i/>
          <w:iCs/>
          <w:sz w:val="24"/>
          <w:szCs w:val="24"/>
        </w:rPr>
        <w:t>Résumé des faits :</w:t>
      </w:r>
    </w:p>
    <w:p w:rsidR="00AA1F33" w:rsidRPr="00AA1F33" w:rsidRDefault="00AA1F33" w:rsidP="00AA1F33">
      <w:pPr>
        <w:pStyle w:val="Sansinterligne"/>
        <w:jc w:val="both"/>
        <w:rPr>
          <w:rFonts w:ascii="Arial" w:hAnsi="Arial" w:cs="Arial"/>
          <w:bCs/>
          <w:i/>
          <w:iCs/>
          <w:sz w:val="24"/>
          <w:szCs w:val="24"/>
        </w:rPr>
      </w:pPr>
      <w:r w:rsidRPr="00AA1F33">
        <w:rPr>
          <w:rFonts w:ascii="Arial" w:hAnsi="Arial" w:cs="Arial"/>
          <w:bCs/>
          <w:i/>
          <w:iCs/>
          <w:sz w:val="24"/>
          <w:szCs w:val="24"/>
        </w:rPr>
        <w:t>En Hongrie, une taxe est due pour toute diffusion de publicité via internet à destination de son territoire. Si le diffuseur n’est pas établi en Hongrie, il a l’obligation de faire une déclaration aux autorités fiscales pour qu’elles calculent la somme due ; s’il est déjà établi sur place, une telle déclaration n’est pas requise car il est déjà enregistré fiscalement pour satisfaire à toutes ses obligations fiscales. Un défaut de déclaration ou d’enregistrement est sanctionné par une amende.</w:t>
      </w:r>
    </w:p>
    <w:p w:rsidR="00AA1F33" w:rsidRPr="00AA1F33" w:rsidRDefault="00AA1F33" w:rsidP="00AA1F33">
      <w:pPr>
        <w:pStyle w:val="Sansinterligne"/>
        <w:jc w:val="both"/>
        <w:rPr>
          <w:rFonts w:ascii="Arial" w:hAnsi="Arial" w:cs="Arial"/>
          <w:sz w:val="24"/>
          <w:szCs w:val="24"/>
        </w:rPr>
      </w:pPr>
    </w:p>
    <w:p w:rsidR="00AA1F33" w:rsidRPr="00AA1F33" w:rsidRDefault="00AA1F33" w:rsidP="00AA1F33">
      <w:pPr>
        <w:pStyle w:val="Sansinterligne"/>
        <w:jc w:val="both"/>
        <w:rPr>
          <w:rFonts w:ascii="Arial" w:hAnsi="Arial" w:cs="Arial"/>
          <w:b/>
          <w:bCs/>
          <w:color w:val="000000"/>
          <w:sz w:val="24"/>
          <w:szCs w:val="24"/>
        </w:rPr>
      </w:pPr>
      <w:r w:rsidRPr="00AA1F33">
        <w:rPr>
          <w:rFonts w:ascii="Arial" w:hAnsi="Arial" w:cs="Arial"/>
          <w:sz w:val="24"/>
          <w:szCs w:val="24"/>
        </w:rPr>
        <w:lastRenderedPageBreak/>
        <w:t xml:space="preserve"> « LA COUR, (…),</w:t>
      </w:r>
      <w:r w:rsidRPr="00AA1F33">
        <w:rPr>
          <w:rFonts w:ascii="Arial" w:hAnsi="Arial" w:cs="Arial"/>
          <w:b/>
          <w:bCs/>
          <w:color w:val="000000"/>
          <w:sz w:val="24"/>
          <w:szCs w:val="24"/>
        </w:rPr>
        <w:t> </w:t>
      </w:r>
    </w:p>
    <w:p w:rsidR="00AA1F33" w:rsidRPr="00AA1F33" w:rsidRDefault="00AA1F33" w:rsidP="00AA1F33">
      <w:pPr>
        <w:pStyle w:val="Sansinterligne"/>
        <w:jc w:val="both"/>
        <w:rPr>
          <w:rFonts w:ascii="Arial" w:hAnsi="Arial" w:cs="Arial"/>
          <w:sz w:val="24"/>
          <w:szCs w:val="24"/>
        </w:rPr>
      </w:pPr>
    </w:p>
    <w:p w:rsidR="00AA1F33" w:rsidRPr="00AA1F33" w:rsidRDefault="00AA1F33" w:rsidP="00AA1F33">
      <w:pPr>
        <w:pStyle w:val="Sansinterligne"/>
        <w:jc w:val="both"/>
        <w:rPr>
          <w:rFonts w:ascii="Arial" w:hAnsi="Arial" w:cs="Arial"/>
          <w:sz w:val="24"/>
          <w:szCs w:val="24"/>
        </w:rPr>
      </w:pPr>
      <w:r w:rsidRPr="00AA1F33">
        <w:rPr>
          <w:rFonts w:ascii="Arial" w:hAnsi="Arial" w:cs="Arial"/>
          <w:sz w:val="24"/>
          <w:szCs w:val="24"/>
        </w:rPr>
        <w:t>Sur la troisième question (…)</w:t>
      </w:r>
    </w:p>
    <w:p w:rsidR="00AA1F33" w:rsidRPr="00AA1F33" w:rsidRDefault="00AA1F33" w:rsidP="00AA1F33">
      <w:pPr>
        <w:pStyle w:val="Sansinterligne"/>
        <w:jc w:val="both"/>
        <w:rPr>
          <w:rFonts w:ascii="Arial" w:hAnsi="Arial" w:cs="Arial"/>
          <w:sz w:val="24"/>
          <w:szCs w:val="24"/>
        </w:rPr>
      </w:pPr>
      <w:bookmarkStart w:id="1" w:name="point29"/>
      <w:r w:rsidRPr="00AA1F33">
        <w:rPr>
          <w:rFonts w:ascii="Arial" w:hAnsi="Arial" w:cs="Arial"/>
          <w:sz w:val="24"/>
          <w:szCs w:val="24"/>
        </w:rPr>
        <w:t>29</w:t>
      </w:r>
      <w:bookmarkEnd w:id="1"/>
      <w:r w:rsidRPr="00AA1F33">
        <w:rPr>
          <w:rFonts w:ascii="Arial" w:hAnsi="Arial" w:cs="Arial"/>
          <w:sz w:val="24"/>
          <w:szCs w:val="24"/>
        </w:rPr>
        <w:t>.      Cette obligation de déclaration, qui est une formalité administrative, ne constitue pas, en tant que telle, un obstacle à la libre prestation des services (…)</w:t>
      </w:r>
    </w:p>
    <w:p w:rsidR="00AA1F33" w:rsidRPr="00AA1F33" w:rsidRDefault="00AA1F33" w:rsidP="00AA1F33">
      <w:pPr>
        <w:pStyle w:val="Sansinterligne"/>
        <w:jc w:val="both"/>
        <w:rPr>
          <w:rFonts w:ascii="Arial" w:hAnsi="Arial" w:cs="Arial"/>
          <w:sz w:val="24"/>
          <w:szCs w:val="24"/>
        </w:rPr>
      </w:pPr>
      <w:bookmarkStart w:id="2" w:name="point35"/>
      <w:r w:rsidRPr="00AA1F33">
        <w:rPr>
          <w:rFonts w:ascii="Arial" w:hAnsi="Arial" w:cs="Arial"/>
          <w:sz w:val="24"/>
          <w:szCs w:val="24"/>
        </w:rPr>
        <w:t>35</w:t>
      </w:r>
      <w:bookmarkEnd w:id="2"/>
      <w:r w:rsidRPr="00AA1F33">
        <w:rPr>
          <w:rFonts w:ascii="Arial" w:hAnsi="Arial" w:cs="Arial"/>
          <w:sz w:val="24"/>
          <w:szCs w:val="24"/>
        </w:rPr>
        <w:t>.      Enfin, aucun élément porté à la connaissance de la Cour dans le cadre de la présente procédure ne suggère que les démarches à effectuer pour satisfaire à l’obligation de déclaration en cause seraient plus lourdes que celles qui doivent être accomplies tant pour s’enregistrer auprès de l’administration fiscale au titre d’un autre impôt que pour s’inscrire au registre national du commerce.</w:t>
      </w:r>
    </w:p>
    <w:p w:rsidR="00AA1F33" w:rsidRPr="00AA1F33" w:rsidRDefault="00AA1F33" w:rsidP="00AA1F33">
      <w:pPr>
        <w:pStyle w:val="Sansinterligne"/>
        <w:jc w:val="both"/>
        <w:rPr>
          <w:rFonts w:ascii="Arial" w:hAnsi="Arial" w:cs="Arial"/>
          <w:sz w:val="24"/>
          <w:szCs w:val="24"/>
        </w:rPr>
      </w:pPr>
      <w:bookmarkStart w:id="3" w:name="point36"/>
      <w:r w:rsidRPr="00AA1F33">
        <w:rPr>
          <w:rFonts w:ascii="Arial" w:hAnsi="Arial" w:cs="Arial"/>
          <w:sz w:val="24"/>
          <w:szCs w:val="24"/>
        </w:rPr>
        <w:t>36</w:t>
      </w:r>
      <w:bookmarkEnd w:id="3"/>
      <w:r w:rsidRPr="00AA1F33">
        <w:rPr>
          <w:rFonts w:ascii="Arial" w:hAnsi="Arial" w:cs="Arial"/>
          <w:sz w:val="24"/>
          <w:szCs w:val="24"/>
        </w:rPr>
        <w:t>.     Eu égard aux considérations qui précèdent, il convient de répondre à la troisième question que l’article 56 TFUE doit être interprété en ce sens qu’il ne s’oppose pas à une réglementation d’un État membre qui soumet les prestataires de services publicitaires établis dans un autre État membre à une obligation de déclaration, aux fins de leur assujettissement à une taxe sur la publicité, alors que les prestataires de tels services établis dans l’État membre d’imposition en sont dispensés au motif qu’ils sont soumis à des obligations de déclaration ou d’enregistrement au titre de leur assujettissement à toute autre taxe applicable sur le territoire dudit État membre.</w:t>
      </w:r>
    </w:p>
    <w:p w:rsidR="00AA1F33" w:rsidRPr="00AA1F33" w:rsidRDefault="00AA1F33" w:rsidP="00AA1F33">
      <w:pPr>
        <w:pStyle w:val="Sansinterligne"/>
        <w:jc w:val="both"/>
        <w:rPr>
          <w:rFonts w:ascii="Arial" w:hAnsi="Arial" w:cs="Arial"/>
          <w:i/>
          <w:iCs/>
          <w:sz w:val="24"/>
          <w:szCs w:val="24"/>
        </w:rPr>
      </w:pPr>
      <w:r w:rsidRPr="00AA1F33">
        <w:rPr>
          <w:rFonts w:ascii="Arial" w:hAnsi="Arial" w:cs="Arial"/>
          <w:i/>
          <w:iCs/>
          <w:sz w:val="24"/>
          <w:szCs w:val="24"/>
        </w:rPr>
        <w:t> </w:t>
      </w:r>
      <w:r w:rsidRPr="00AA1F33">
        <w:rPr>
          <w:rFonts w:ascii="Arial" w:hAnsi="Arial" w:cs="Arial"/>
          <w:b/>
          <w:bCs/>
          <w:i/>
          <w:iCs/>
          <w:sz w:val="24"/>
          <w:szCs w:val="24"/>
        </w:rPr>
        <w:t>Sur les première, deuxième, quatrième et sixième questions</w:t>
      </w:r>
      <w:r w:rsidRPr="00AA1F33">
        <w:rPr>
          <w:rFonts w:ascii="Arial" w:hAnsi="Arial" w:cs="Arial"/>
          <w:i/>
          <w:iCs/>
          <w:sz w:val="24"/>
          <w:szCs w:val="24"/>
        </w:rPr>
        <w:t xml:space="preserve"> </w:t>
      </w:r>
      <w:r w:rsidRPr="00AA1F33">
        <w:rPr>
          <w:rFonts w:ascii="Arial" w:hAnsi="Arial" w:cs="Arial"/>
          <w:sz w:val="24"/>
          <w:szCs w:val="24"/>
        </w:rPr>
        <w:t>(…).</w:t>
      </w:r>
    </w:p>
    <w:p w:rsidR="00AA1F33" w:rsidRPr="00AA1F33" w:rsidRDefault="00AA1F33" w:rsidP="00AA1F33">
      <w:pPr>
        <w:pStyle w:val="Sansinterligne"/>
        <w:jc w:val="both"/>
        <w:rPr>
          <w:rFonts w:ascii="Arial" w:hAnsi="Arial" w:cs="Arial"/>
          <w:sz w:val="24"/>
          <w:szCs w:val="24"/>
        </w:rPr>
      </w:pPr>
      <w:bookmarkStart w:id="4" w:name="point54"/>
      <w:r w:rsidRPr="00AA1F33">
        <w:rPr>
          <w:rFonts w:ascii="Arial" w:hAnsi="Arial" w:cs="Arial"/>
          <w:sz w:val="24"/>
          <w:szCs w:val="24"/>
        </w:rPr>
        <w:t xml:space="preserve"> 54</w:t>
      </w:r>
      <w:bookmarkEnd w:id="4"/>
      <w:r w:rsidRPr="00AA1F33">
        <w:rPr>
          <w:rFonts w:ascii="Arial" w:hAnsi="Arial" w:cs="Arial"/>
          <w:sz w:val="24"/>
          <w:szCs w:val="24"/>
        </w:rPr>
        <w:t>.      Eu égard aux considérations qui précèdent, il convient de répondre aux première, deuxième, quatrième et sixième questions que l’article 56 TFUE doit être interprété en ce sens qu’il s’oppose à une réglementation d’un État membre par laquelle les prestataires de services établis dans un autre État membre, ne s’étant pas conformés à une obligation de déclaration aux fins de leur assujettissement à une taxe sur la publicité, se voient infliger, en quelques jours, une série d’amendes, dont le montant, à partir de la deuxième, est triplé par rapport au montant de l’amende précédente lors de toute nouvelle constatation de l’inexécution de cette obligation, et aboutissant à un montant cumulé de plusieurs millions d’euros, sans que l’autorité compétente, avant l’adoption de la décision fixant, de manière définitive, le montant cumulé de ces amendes, accorde à ces prestataires de services le temps nécessaire pour s’acquitter de leurs obligations, leur donne l’occasion de présenter leurs observations et examine elle-même la gravité de l’infraction, alors que le montant de l’amende qui serait infligée à un prestataire établi dans l’État membre d’imposition ayant omis de s’acquitter d’une obligation de déclaration ou d’enregistrement similaire en méconnaissance des dispositions générales de la législation fiscale nationale est significativement moins élevé et ne se voit augmenté, en cas de non-respect continu d’une telle obligation, ni dans les mêmes proportions ni nécessairement dans des délais aussi brefs ».</w:t>
      </w:r>
    </w:p>
    <w:p w:rsidR="00AA1F33" w:rsidRPr="00AA1F33" w:rsidRDefault="00AA1F33" w:rsidP="00AA1F33">
      <w:pPr>
        <w:pStyle w:val="Sansinterligne"/>
        <w:jc w:val="both"/>
        <w:rPr>
          <w:rFonts w:ascii="Arial" w:hAnsi="Arial" w:cs="Arial"/>
          <w:b/>
          <w:bCs/>
          <w:sz w:val="24"/>
          <w:szCs w:val="24"/>
        </w:rPr>
      </w:pPr>
      <w:r w:rsidRPr="00AA1F33">
        <w:rPr>
          <w:rFonts w:ascii="Arial" w:hAnsi="Arial" w:cs="Arial"/>
          <w:i/>
          <w:iCs/>
          <w:sz w:val="24"/>
          <w:szCs w:val="24"/>
        </w:rPr>
        <w:t> </w:t>
      </w:r>
    </w:p>
    <w:p w:rsidR="00AA1F33" w:rsidRPr="00AA1F33" w:rsidRDefault="00AA1F33" w:rsidP="00AA1F33">
      <w:pPr>
        <w:pStyle w:val="Sansinterligne"/>
        <w:jc w:val="both"/>
        <w:rPr>
          <w:rFonts w:ascii="Arial" w:hAnsi="Arial" w:cs="Arial"/>
          <w:sz w:val="24"/>
          <w:szCs w:val="24"/>
        </w:rPr>
      </w:pPr>
    </w:p>
    <w:p w:rsidR="00AA1F33" w:rsidRPr="00AA1F33" w:rsidRDefault="00AA1F33" w:rsidP="00C62AB8">
      <w:pPr>
        <w:rPr>
          <w:rFonts w:ascii="Arial" w:hAnsi="Arial" w:cs="Arial"/>
        </w:rPr>
      </w:pPr>
    </w:p>
    <w:p w:rsidR="00944A74" w:rsidRPr="00AA1F33" w:rsidRDefault="00944A74" w:rsidP="00C62AB8">
      <w:pPr>
        <w:rPr>
          <w:rFonts w:ascii="Arial" w:hAnsi="Arial" w:cs="Arial"/>
        </w:rPr>
      </w:pPr>
    </w:p>
    <w:p w:rsidR="00BF393C" w:rsidRPr="00AA1F33" w:rsidRDefault="00BF393C">
      <w:pPr>
        <w:rPr>
          <w:rFonts w:ascii="Arial" w:hAnsi="Arial" w:cs="Arial"/>
        </w:rPr>
      </w:pPr>
    </w:p>
    <w:sectPr w:rsidR="00BF393C" w:rsidRPr="00AA1F3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040" w:rsidRDefault="00607040" w:rsidP="00AA1F33">
      <w:r>
        <w:separator/>
      </w:r>
    </w:p>
  </w:endnote>
  <w:endnote w:type="continuationSeparator" w:id="0">
    <w:p w:rsidR="00607040" w:rsidRDefault="00607040" w:rsidP="00AA1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52057"/>
      <w:docPartObj>
        <w:docPartGallery w:val="Page Numbers (Bottom of Page)"/>
        <w:docPartUnique/>
      </w:docPartObj>
    </w:sdtPr>
    <w:sdtEndPr/>
    <w:sdtContent>
      <w:p w:rsidR="00AA1F33" w:rsidRDefault="00AA1F33">
        <w:pPr>
          <w:pStyle w:val="Pieddepage"/>
          <w:jc w:val="center"/>
        </w:pPr>
        <w:r>
          <w:fldChar w:fldCharType="begin"/>
        </w:r>
        <w:r>
          <w:instrText>PAGE   \* MERGEFORMAT</w:instrText>
        </w:r>
        <w:r>
          <w:fldChar w:fldCharType="separate"/>
        </w:r>
        <w:r w:rsidR="005B4453">
          <w:rPr>
            <w:noProof/>
          </w:rPr>
          <w:t>1</w:t>
        </w:r>
        <w:r>
          <w:fldChar w:fldCharType="end"/>
        </w:r>
      </w:p>
    </w:sdtContent>
  </w:sdt>
  <w:p w:rsidR="00AA1F33" w:rsidRDefault="00AA1F3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040" w:rsidRDefault="00607040" w:rsidP="00AA1F33">
      <w:r>
        <w:separator/>
      </w:r>
    </w:p>
  </w:footnote>
  <w:footnote w:type="continuationSeparator" w:id="0">
    <w:p w:rsidR="00607040" w:rsidRDefault="00607040" w:rsidP="00AA1F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B8"/>
    <w:rsid w:val="00043BF9"/>
    <w:rsid w:val="000C31EE"/>
    <w:rsid w:val="00110FE2"/>
    <w:rsid w:val="00287920"/>
    <w:rsid w:val="00325FF0"/>
    <w:rsid w:val="00375D56"/>
    <w:rsid w:val="003B417D"/>
    <w:rsid w:val="003B548E"/>
    <w:rsid w:val="004F6AF8"/>
    <w:rsid w:val="005B4453"/>
    <w:rsid w:val="00607040"/>
    <w:rsid w:val="006706BC"/>
    <w:rsid w:val="006E78FF"/>
    <w:rsid w:val="0080144B"/>
    <w:rsid w:val="008563FF"/>
    <w:rsid w:val="00944A74"/>
    <w:rsid w:val="00AA1F33"/>
    <w:rsid w:val="00AB6A7C"/>
    <w:rsid w:val="00AE726E"/>
    <w:rsid w:val="00AF666B"/>
    <w:rsid w:val="00B32DD9"/>
    <w:rsid w:val="00BB4C4E"/>
    <w:rsid w:val="00BF393C"/>
    <w:rsid w:val="00C62AB8"/>
    <w:rsid w:val="00CD2095"/>
    <w:rsid w:val="00EF2D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EA85F-FF91-4301-B9E9-8C29B83C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B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F666B"/>
    <w:pPr>
      <w:spacing w:after="0" w:line="240" w:lineRule="auto"/>
    </w:pPr>
  </w:style>
  <w:style w:type="paragraph" w:styleId="En-tte">
    <w:name w:val="header"/>
    <w:basedOn w:val="Normal"/>
    <w:link w:val="En-tteCar"/>
    <w:uiPriority w:val="99"/>
    <w:unhideWhenUsed/>
    <w:rsid w:val="00AA1F33"/>
    <w:pPr>
      <w:tabs>
        <w:tab w:val="center" w:pos="4536"/>
        <w:tab w:val="right" w:pos="9072"/>
      </w:tabs>
    </w:pPr>
  </w:style>
  <w:style w:type="character" w:customStyle="1" w:styleId="En-tteCar">
    <w:name w:val="En-tête Car"/>
    <w:basedOn w:val="Policepardfaut"/>
    <w:link w:val="En-tte"/>
    <w:uiPriority w:val="99"/>
    <w:rsid w:val="00AA1F3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A1F33"/>
    <w:pPr>
      <w:tabs>
        <w:tab w:val="center" w:pos="4536"/>
        <w:tab w:val="right" w:pos="9072"/>
      </w:tabs>
    </w:pPr>
  </w:style>
  <w:style w:type="character" w:customStyle="1" w:styleId="PieddepageCar">
    <w:name w:val="Pied de page Car"/>
    <w:basedOn w:val="Policepardfaut"/>
    <w:link w:val="Pieddepage"/>
    <w:uiPriority w:val="99"/>
    <w:rsid w:val="00AA1F33"/>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2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E019D-4F9C-4D12-BFBA-62EA82ACA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631</Words>
  <Characters>3476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Université Panthéon-Assas</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UP2</dc:creator>
  <cp:keywords/>
  <dc:description/>
  <cp:lastModifiedBy>Joel</cp:lastModifiedBy>
  <cp:revision>10</cp:revision>
  <dcterms:created xsi:type="dcterms:W3CDTF">2021-04-04T12:46:00Z</dcterms:created>
  <dcterms:modified xsi:type="dcterms:W3CDTF">2021-04-04T13:29:00Z</dcterms:modified>
</cp:coreProperties>
</file>