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DEF5" w14:textId="77777777" w:rsidR="008E05F7" w:rsidRDefault="00784A41">
      <w:pPr>
        <w:jc w:val="center"/>
        <w:rPr>
          <w:rFonts w:ascii="Garamond" w:hAnsi="Garamond"/>
          <w:b/>
          <w:bCs/>
          <w:sz w:val="25"/>
          <w:szCs w:val="25"/>
        </w:rPr>
      </w:pPr>
      <w:r>
        <w:rPr>
          <w:rFonts w:ascii="Garamond" w:hAnsi="Garamond"/>
          <w:b/>
          <w:bCs/>
          <w:sz w:val="25"/>
          <w:szCs w:val="25"/>
        </w:rPr>
        <w:t>UNIVERSITÉ PANTH</w:t>
      </w:r>
      <w:r w:rsidR="00015379">
        <w:rPr>
          <w:rFonts w:ascii="Garamond" w:hAnsi="Garamond"/>
          <w:b/>
          <w:bCs/>
          <w:sz w:val="25"/>
          <w:szCs w:val="25"/>
        </w:rPr>
        <w:t>É</w:t>
      </w:r>
      <w:r>
        <w:rPr>
          <w:rFonts w:ascii="Garamond" w:hAnsi="Garamond"/>
          <w:b/>
          <w:bCs/>
          <w:sz w:val="25"/>
          <w:szCs w:val="25"/>
        </w:rPr>
        <w:t xml:space="preserve">ON-ASSAS (PARIS </w:t>
      </w:r>
      <w:r w:rsidR="008E05F7">
        <w:rPr>
          <w:rFonts w:ascii="Garamond" w:hAnsi="Garamond"/>
          <w:b/>
          <w:bCs/>
          <w:sz w:val="25"/>
          <w:szCs w:val="25"/>
        </w:rPr>
        <w:t>II</w:t>
      </w:r>
      <w:r>
        <w:rPr>
          <w:rFonts w:ascii="Garamond" w:hAnsi="Garamond"/>
          <w:b/>
          <w:bCs/>
          <w:sz w:val="25"/>
          <w:szCs w:val="25"/>
        </w:rPr>
        <w:t>)</w:t>
      </w:r>
    </w:p>
    <w:p w14:paraId="77E34D51" w14:textId="77777777" w:rsidR="00784A41" w:rsidRDefault="00784A41">
      <w:pPr>
        <w:jc w:val="center"/>
        <w:rPr>
          <w:rFonts w:ascii="Garamond" w:hAnsi="Garamond"/>
          <w:b/>
          <w:bCs/>
          <w:sz w:val="25"/>
          <w:szCs w:val="25"/>
        </w:rPr>
      </w:pPr>
      <w:r>
        <w:rPr>
          <w:rFonts w:ascii="Garamond" w:hAnsi="Garamond"/>
          <w:b/>
          <w:bCs/>
          <w:sz w:val="25"/>
          <w:szCs w:val="25"/>
        </w:rPr>
        <w:t xml:space="preserve">Droit – </w:t>
      </w:r>
      <w:r w:rsidR="00015379">
        <w:rPr>
          <w:rFonts w:ascii="Garamond" w:hAnsi="Garamond"/>
          <w:b/>
          <w:bCs/>
          <w:sz w:val="25"/>
          <w:szCs w:val="25"/>
        </w:rPr>
        <w:t>É</w:t>
      </w:r>
      <w:r>
        <w:rPr>
          <w:rFonts w:ascii="Garamond" w:hAnsi="Garamond"/>
          <w:b/>
          <w:bCs/>
          <w:sz w:val="25"/>
          <w:szCs w:val="25"/>
        </w:rPr>
        <w:t>conomie – Sciences sociales</w:t>
      </w:r>
    </w:p>
    <w:p w14:paraId="661A276A" w14:textId="77777777" w:rsidR="008E05F7" w:rsidRDefault="00D97739">
      <w:pPr>
        <w:jc w:val="center"/>
        <w:rPr>
          <w:rFonts w:ascii="Garamond" w:hAnsi="Garamond"/>
          <w:b/>
          <w:bCs/>
          <w:sz w:val="25"/>
          <w:szCs w:val="25"/>
        </w:rPr>
      </w:pPr>
      <w:r>
        <w:rPr>
          <w:rFonts w:ascii="Garamond" w:hAnsi="Garamond"/>
          <w:b/>
          <w:bCs/>
          <w:sz w:val="25"/>
          <w:szCs w:val="25"/>
        </w:rPr>
        <w:t>Centre Assas</w:t>
      </w:r>
    </w:p>
    <w:p w14:paraId="14670B9D" w14:textId="77777777" w:rsidR="008E05F7" w:rsidRDefault="008E05F7">
      <w:pPr>
        <w:jc w:val="both"/>
        <w:rPr>
          <w:rFonts w:ascii="Garamond" w:hAnsi="Garamond"/>
          <w:sz w:val="25"/>
          <w:szCs w:val="25"/>
        </w:rPr>
      </w:pPr>
    </w:p>
    <w:p w14:paraId="50355469" w14:textId="77777777" w:rsidR="008E05F7" w:rsidRDefault="008E05F7">
      <w:pPr>
        <w:jc w:val="both"/>
        <w:rPr>
          <w:rFonts w:ascii="Garamond" w:hAnsi="Garamond"/>
          <w:sz w:val="25"/>
          <w:szCs w:val="25"/>
        </w:rPr>
      </w:pPr>
    </w:p>
    <w:p w14:paraId="28F419D6" w14:textId="77777777" w:rsidR="008E05F7" w:rsidRDefault="008E05F7">
      <w:pPr>
        <w:jc w:val="both"/>
        <w:rPr>
          <w:rFonts w:ascii="Garamond" w:hAnsi="Garamond"/>
          <w:sz w:val="25"/>
          <w:szCs w:val="25"/>
        </w:rPr>
      </w:pPr>
    </w:p>
    <w:p w14:paraId="378FEA7A" w14:textId="28D7525E" w:rsidR="008E05F7" w:rsidRDefault="008E05F7">
      <w:pPr>
        <w:jc w:val="both"/>
        <w:rPr>
          <w:rFonts w:ascii="Garamond" w:hAnsi="Garamond"/>
          <w:sz w:val="25"/>
          <w:szCs w:val="25"/>
        </w:rPr>
      </w:pPr>
      <w:r>
        <w:rPr>
          <w:rFonts w:ascii="Garamond" w:hAnsi="Garamond"/>
          <w:b/>
          <w:bCs/>
          <w:sz w:val="25"/>
          <w:szCs w:val="25"/>
        </w:rPr>
        <w:t xml:space="preserve">Session : </w:t>
      </w:r>
      <w:r>
        <w:rPr>
          <w:rFonts w:ascii="Garamond" w:hAnsi="Garamond"/>
          <w:sz w:val="25"/>
          <w:szCs w:val="25"/>
        </w:rPr>
        <w:tab/>
      </w:r>
      <w:r>
        <w:rPr>
          <w:rFonts w:ascii="Garamond" w:hAnsi="Garamond"/>
          <w:sz w:val="25"/>
          <w:szCs w:val="25"/>
        </w:rPr>
        <w:tab/>
      </w:r>
      <w:r>
        <w:rPr>
          <w:rFonts w:ascii="Garamond" w:hAnsi="Garamond"/>
          <w:sz w:val="25"/>
          <w:szCs w:val="25"/>
        </w:rPr>
        <w:tab/>
      </w:r>
      <w:r w:rsidR="00D97739">
        <w:rPr>
          <w:rFonts w:ascii="Garamond" w:hAnsi="Garamond"/>
          <w:sz w:val="25"/>
          <w:szCs w:val="25"/>
        </w:rPr>
        <w:t>Mai 2</w:t>
      </w:r>
      <w:r w:rsidR="0088170F">
        <w:rPr>
          <w:rFonts w:ascii="Garamond" w:hAnsi="Garamond"/>
          <w:sz w:val="25"/>
          <w:szCs w:val="25"/>
        </w:rPr>
        <w:t>021</w:t>
      </w:r>
    </w:p>
    <w:p w14:paraId="27232BF4" w14:textId="77777777" w:rsidR="008E05F7" w:rsidRDefault="008E05F7">
      <w:pPr>
        <w:jc w:val="both"/>
        <w:rPr>
          <w:rFonts w:ascii="Garamond" w:hAnsi="Garamond"/>
          <w:sz w:val="25"/>
          <w:szCs w:val="25"/>
        </w:rPr>
      </w:pPr>
    </w:p>
    <w:p w14:paraId="0B59FD1F" w14:textId="77777777" w:rsidR="008E05F7" w:rsidRDefault="008E05F7">
      <w:pPr>
        <w:jc w:val="both"/>
        <w:rPr>
          <w:rFonts w:ascii="Garamond" w:hAnsi="Garamond"/>
          <w:sz w:val="25"/>
          <w:szCs w:val="25"/>
        </w:rPr>
      </w:pPr>
      <w:r>
        <w:rPr>
          <w:rFonts w:ascii="Garamond" w:hAnsi="Garamond"/>
          <w:b/>
          <w:bCs/>
          <w:sz w:val="25"/>
          <w:szCs w:val="25"/>
        </w:rPr>
        <w:t>Année d’étude :</w:t>
      </w:r>
      <w:r>
        <w:rPr>
          <w:rFonts w:ascii="Garamond" w:hAnsi="Garamond"/>
          <w:sz w:val="25"/>
          <w:szCs w:val="25"/>
        </w:rPr>
        <w:tab/>
      </w:r>
      <w:r>
        <w:rPr>
          <w:rFonts w:ascii="Garamond" w:hAnsi="Garamond"/>
          <w:sz w:val="25"/>
          <w:szCs w:val="25"/>
        </w:rPr>
        <w:tab/>
      </w:r>
      <w:r w:rsidR="00D97739">
        <w:rPr>
          <w:rFonts w:ascii="Garamond" w:hAnsi="Garamond"/>
          <w:sz w:val="25"/>
          <w:szCs w:val="25"/>
        </w:rPr>
        <w:t>Troisième</w:t>
      </w:r>
      <w:r w:rsidR="00784A41">
        <w:rPr>
          <w:rFonts w:ascii="Garamond" w:hAnsi="Garamond"/>
          <w:sz w:val="25"/>
          <w:szCs w:val="25"/>
        </w:rPr>
        <w:t xml:space="preserve"> année de licence en Droit</w:t>
      </w:r>
    </w:p>
    <w:p w14:paraId="16503AB2" w14:textId="77777777" w:rsidR="008E05F7" w:rsidRDefault="008E05F7">
      <w:pPr>
        <w:jc w:val="both"/>
        <w:rPr>
          <w:rFonts w:ascii="Garamond" w:hAnsi="Garamond"/>
          <w:sz w:val="25"/>
          <w:szCs w:val="25"/>
        </w:rPr>
      </w:pPr>
    </w:p>
    <w:p w14:paraId="1EE88D7E" w14:textId="77777777" w:rsidR="008E05F7" w:rsidRDefault="008E05F7">
      <w:pPr>
        <w:jc w:val="both"/>
        <w:rPr>
          <w:rFonts w:ascii="Garamond" w:hAnsi="Garamond"/>
          <w:sz w:val="25"/>
          <w:szCs w:val="25"/>
        </w:rPr>
      </w:pPr>
      <w:r>
        <w:rPr>
          <w:rFonts w:ascii="Garamond" w:hAnsi="Garamond"/>
          <w:b/>
          <w:bCs/>
          <w:sz w:val="25"/>
          <w:szCs w:val="25"/>
        </w:rPr>
        <w:t>Discipline :</w:t>
      </w:r>
      <w:r w:rsidR="00784A41">
        <w:rPr>
          <w:rFonts w:ascii="Garamond" w:hAnsi="Garamond"/>
          <w:sz w:val="25"/>
          <w:szCs w:val="25"/>
        </w:rPr>
        <w:tab/>
      </w:r>
      <w:r w:rsidR="00784A41">
        <w:rPr>
          <w:rFonts w:ascii="Garamond" w:hAnsi="Garamond"/>
          <w:sz w:val="25"/>
          <w:szCs w:val="25"/>
        </w:rPr>
        <w:tab/>
      </w:r>
      <w:r w:rsidR="00784A41">
        <w:rPr>
          <w:rFonts w:ascii="Garamond" w:hAnsi="Garamond"/>
          <w:sz w:val="25"/>
          <w:szCs w:val="25"/>
        </w:rPr>
        <w:tab/>
      </w:r>
      <w:r w:rsidR="00784A41" w:rsidRPr="00784A41">
        <w:rPr>
          <w:rFonts w:ascii="Garamond" w:hAnsi="Garamond"/>
          <w:b/>
          <w:i/>
          <w:sz w:val="25"/>
          <w:szCs w:val="25"/>
        </w:rPr>
        <w:t>Droit administratif</w:t>
      </w:r>
      <w:r w:rsidR="00D97739">
        <w:rPr>
          <w:rFonts w:ascii="Garamond" w:hAnsi="Garamond"/>
          <w:b/>
          <w:i/>
          <w:sz w:val="25"/>
          <w:szCs w:val="25"/>
        </w:rPr>
        <w:t xml:space="preserve"> des biens</w:t>
      </w:r>
    </w:p>
    <w:p w14:paraId="5A88D18B" w14:textId="77777777" w:rsidR="008E05F7" w:rsidRDefault="00784A41">
      <w:pPr>
        <w:jc w:val="both"/>
        <w:rPr>
          <w:rFonts w:ascii="Garamond" w:hAnsi="Garamond"/>
          <w:sz w:val="25"/>
          <w:szCs w:val="25"/>
        </w:rPr>
      </w:pPr>
      <w:r>
        <w:rPr>
          <w:rFonts w:ascii="Garamond" w:hAnsi="Garamond"/>
          <w:sz w:val="25"/>
          <w:szCs w:val="25"/>
        </w:rPr>
        <w:tab/>
      </w:r>
      <w:r>
        <w:rPr>
          <w:rFonts w:ascii="Garamond" w:hAnsi="Garamond"/>
          <w:sz w:val="25"/>
          <w:szCs w:val="25"/>
        </w:rPr>
        <w:tab/>
      </w:r>
      <w:r>
        <w:rPr>
          <w:rFonts w:ascii="Garamond" w:hAnsi="Garamond"/>
          <w:sz w:val="25"/>
          <w:szCs w:val="25"/>
        </w:rPr>
        <w:tab/>
      </w:r>
      <w:r>
        <w:rPr>
          <w:rFonts w:ascii="Garamond" w:hAnsi="Garamond"/>
          <w:sz w:val="25"/>
          <w:szCs w:val="25"/>
        </w:rPr>
        <w:tab/>
        <w:t xml:space="preserve">Unité d’Enseignements Fondamentaux </w:t>
      </w:r>
      <w:r w:rsidR="00D97739">
        <w:rPr>
          <w:rFonts w:ascii="Garamond" w:hAnsi="Garamond"/>
          <w:sz w:val="25"/>
          <w:szCs w:val="25"/>
        </w:rPr>
        <w:t>2</w:t>
      </w:r>
    </w:p>
    <w:p w14:paraId="4DDBB93B" w14:textId="77777777" w:rsidR="00784A41" w:rsidRDefault="00784A41">
      <w:pPr>
        <w:jc w:val="both"/>
        <w:rPr>
          <w:rFonts w:ascii="Garamond" w:hAnsi="Garamond"/>
          <w:b/>
          <w:bCs/>
          <w:sz w:val="25"/>
          <w:szCs w:val="25"/>
        </w:rPr>
      </w:pPr>
    </w:p>
    <w:p w14:paraId="015DF051" w14:textId="77777777" w:rsidR="008E05F7" w:rsidRDefault="008E05F7">
      <w:pPr>
        <w:jc w:val="both"/>
        <w:rPr>
          <w:rFonts w:ascii="Garamond" w:hAnsi="Garamond"/>
          <w:sz w:val="25"/>
          <w:szCs w:val="25"/>
        </w:rPr>
      </w:pPr>
      <w:r>
        <w:rPr>
          <w:rFonts w:ascii="Garamond" w:hAnsi="Garamond"/>
          <w:b/>
          <w:bCs/>
          <w:sz w:val="25"/>
          <w:szCs w:val="25"/>
        </w:rPr>
        <w:t>Titulaire du cours :</w:t>
      </w:r>
      <w:r>
        <w:rPr>
          <w:rFonts w:ascii="Garamond" w:hAnsi="Garamond"/>
          <w:sz w:val="25"/>
          <w:szCs w:val="25"/>
        </w:rPr>
        <w:tab/>
      </w:r>
      <w:r>
        <w:rPr>
          <w:rFonts w:ascii="Garamond" w:hAnsi="Garamond"/>
          <w:sz w:val="25"/>
          <w:szCs w:val="25"/>
        </w:rPr>
        <w:tab/>
        <w:t>Professeur Benoît Plessix</w:t>
      </w:r>
    </w:p>
    <w:p w14:paraId="0BD90BC6" w14:textId="77777777" w:rsidR="008E05F7" w:rsidRDefault="008E05F7">
      <w:pPr>
        <w:jc w:val="both"/>
        <w:rPr>
          <w:rFonts w:ascii="Garamond" w:hAnsi="Garamond"/>
          <w:sz w:val="25"/>
          <w:szCs w:val="25"/>
        </w:rPr>
      </w:pPr>
    </w:p>
    <w:p w14:paraId="20A57530" w14:textId="77777777" w:rsidR="008E05F7" w:rsidRDefault="008E05F7">
      <w:pPr>
        <w:jc w:val="both"/>
        <w:rPr>
          <w:rFonts w:ascii="Garamond" w:hAnsi="Garamond"/>
          <w:sz w:val="25"/>
          <w:szCs w:val="25"/>
        </w:rPr>
      </w:pPr>
    </w:p>
    <w:p w14:paraId="068D71A5" w14:textId="4192A67A" w:rsidR="008E05F7" w:rsidRDefault="008E05F7">
      <w:pPr>
        <w:jc w:val="both"/>
        <w:rPr>
          <w:rFonts w:ascii="Garamond" w:hAnsi="Garamond"/>
          <w:sz w:val="25"/>
          <w:szCs w:val="25"/>
        </w:rPr>
      </w:pPr>
      <w:r>
        <w:rPr>
          <w:rFonts w:ascii="Garamond" w:hAnsi="Garamond"/>
          <w:b/>
          <w:bCs/>
          <w:sz w:val="25"/>
          <w:szCs w:val="25"/>
        </w:rPr>
        <w:t>Durée de l’épreuve :</w:t>
      </w:r>
      <w:r>
        <w:rPr>
          <w:rFonts w:ascii="Garamond" w:hAnsi="Garamond"/>
          <w:sz w:val="25"/>
          <w:szCs w:val="25"/>
        </w:rPr>
        <w:t xml:space="preserve"> </w:t>
      </w:r>
      <w:r w:rsidR="00B462AC">
        <w:rPr>
          <w:rFonts w:ascii="Garamond" w:hAnsi="Garamond"/>
          <w:sz w:val="25"/>
          <w:szCs w:val="25"/>
        </w:rPr>
        <w:t>2</w:t>
      </w:r>
      <w:r>
        <w:rPr>
          <w:rFonts w:ascii="Garamond" w:hAnsi="Garamond"/>
          <w:sz w:val="25"/>
          <w:szCs w:val="25"/>
        </w:rPr>
        <w:t xml:space="preserve"> heures</w:t>
      </w:r>
    </w:p>
    <w:p w14:paraId="7B4D6F70" w14:textId="77777777" w:rsidR="008E05F7" w:rsidRDefault="008E05F7">
      <w:pPr>
        <w:jc w:val="both"/>
        <w:rPr>
          <w:rFonts w:ascii="Garamond" w:hAnsi="Garamond"/>
          <w:sz w:val="25"/>
          <w:szCs w:val="25"/>
        </w:rPr>
      </w:pPr>
    </w:p>
    <w:p w14:paraId="64B90F7D" w14:textId="77777777" w:rsidR="008E05F7" w:rsidRDefault="008E05F7">
      <w:pPr>
        <w:jc w:val="both"/>
        <w:rPr>
          <w:rFonts w:ascii="Garamond" w:hAnsi="Garamond"/>
          <w:sz w:val="25"/>
          <w:szCs w:val="25"/>
        </w:rPr>
      </w:pPr>
      <w:r>
        <w:rPr>
          <w:rFonts w:ascii="Garamond" w:hAnsi="Garamond"/>
          <w:b/>
          <w:bCs/>
          <w:sz w:val="25"/>
          <w:szCs w:val="25"/>
        </w:rPr>
        <w:t>Documents autorisés :</w:t>
      </w:r>
      <w:r>
        <w:rPr>
          <w:rFonts w:ascii="Garamond" w:hAnsi="Garamond"/>
          <w:sz w:val="25"/>
          <w:szCs w:val="25"/>
        </w:rPr>
        <w:t xml:space="preserve"> Aucun</w:t>
      </w:r>
    </w:p>
    <w:p w14:paraId="2A9410F1" w14:textId="77777777" w:rsidR="008E05F7" w:rsidRDefault="008E05F7">
      <w:pPr>
        <w:jc w:val="both"/>
        <w:rPr>
          <w:rFonts w:ascii="Garamond" w:hAnsi="Garamond"/>
          <w:sz w:val="25"/>
          <w:szCs w:val="25"/>
        </w:rPr>
      </w:pPr>
    </w:p>
    <w:p w14:paraId="0D5AC1EC" w14:textId="77777777" w:rsidR="008E05F7" w:rsidRDefault="008E05F7">
      <w:pPr>
        <w:jc w:val="both"/>
        <w:rPr>
          <w:rFonts w:ascii="Garamond" w:hAnsi="Garamond"/>
          <w:sz w:val="25"/>
          <w:szCs w:val="25"/>
        </w:rPr>
      </w:pPr>
    </w:p>
    <w:p w14:paraId="6DCE4270" w14:textId="77777777" w:rsidR="00B26FDF" w:rsidRDefault="00B26FDF">
      <w:pPr>
        <w:jc w:val="both"/>
        <w:rPr>
          <w:rFonts w:ascii="Garamond" w:hAnsi="Garamond"/>
          <w:sz w:val="25"/>
          <w:szCs w:val="25"/>
        </w:rPr>
      </w:pPr>
    </w:p>
    <w:p w14:paraId="1CD7BC60" w14:textId="77777777" w:rsidR="008E05F7" w:rsidRDefault="008E05F7">
      <w:pPr>
        <w:jc w:val="both"/>
        <w:rPr>
          <w:rFonts w:ascii="Garamond" w:hAnsi="Garamond"/>
          <w:sz w:val="25"/>
          <w:szCs w:val="25"/>
        </w:rPr>
      </w:pPr>
    </w:p>
    <w:p w14:paraId="1B6261C1" w14:textId="4B75CA0E" w:rsidR="008E05F7" w:rsidRDefault="008E05F7">
      <w:pPr>
        <w:jc w:val="both"/>
        <w:rPr>
          <w:rFonts w:ascii="Garamond" w:hAnsi="Garamond"/>
          <w:sz w:val="25"/>
          <w:szCs w:val="25"/>
        </w:rPr>
      </w:pPr>
      <w:r>
        <w:rPr>
          <w:rFonts w:ascii="Garamond" w:hAnsi="Garamond"/>
          <w:sz w:val="25"/>
          <w:szCs w:val="25"/>
        </w:rPr>
        <w:t xml:space="preserve">Les étudiants </w:t>
      </w:r>
      <w:r w:rsidR="00B462AC">
        <w:rPr>
          <w:rFonts w:ascii="Garamond" w:hAnsi="Garamond"/>
          <w:sz w:val="25"/>
          <w:szCs w:val="25"/>
        </w:rPr>
        <w:t xml:space="preserve">présenteront leur devoir avec une introduction rédigée et un plan détaillé. Ils </w:t>
      </w:r>
      <w:r>
        <w:rPr>
          <w:rFonts w:ascii="Garamond" w:hAnsi="Garamond"/>
          <w:sz w:val="25"/>
          <w:szCs w:val="25"/>
        </w:rPr>
        <w:t>traiteront, au choix, l’un des deux sujets suivants :</w:t>
      </w:r>
    </w:p>
    <w:p w14:paraId="284CE967" w14:textId="77777777" w:rsidR="008E05F7" w:rsidRDefault="008E05F7">
      <w:pPr>
        <w:jc w:val="both"/>
        <w:rPr>
          <w:rFonts w:ascii="Garamond" w:hAnsi="Garamond"/>
          <w:sz w:val="25"/>
          <w:szCs w:val="25"/>
        </w:rPr>
      </w:pPr>
    </w:p>
    <w:p w14:paraId="29A2E86A" w14:textId="77777777" w:rsidR="008E05F7" w:rsidRDefault="008E05F7">
      <w:pPr>
        <w:jc w:val="both"/>
        <w:rPr>
          <w:rFonts w:ascii="Garamond" w:hAnsi="Garamond"/>
          <w:sz w:val="25"/>
          <w:szCs w:val="25"/>
        </w:rPr>
      </w:pPr>
    </w:p>
    <w:p w14:paraId="69BAF5BC" w14:textId="77777777" w:rsidR="008E05F7" w:rsidRDefault="008E05F7">
      <w:pPr>
        <w:jc w:val="both"/>
        <w:rPr>
          <w:rFonts w:ascii="Garamond" w:hAnsi="Garamond"/>
          <w:b/>
          <w:bCs/>
          <w:sz w:val="25"/>
          <w:szCs w:val="25"/>
        </w:rPr>
      </w:pPr>
      <w:r>
        <w:rPr>
          <w:rFonts w:ascii="Garamond" w:hAnsi="Garamond"/>
          <w:b/>
          <w:bCs/>
          <w:sz w:val="25"/>
          <w:szCs w:val="25"/>
        </w:rPr>
        <w:t>Sujet théorique :</w:t>
      </w:r>
    </w:p>
    <w:p w14:paraId="44721539" w14:textId="77777777" w:rsidR="008E05F7" w:rsidRDefault="008E05F7">
      <w:pPr>
        <w:jc w:val="both"/>
        <w:rPr>
          <w:rFonts w:ascii="Garamond" w:hAnsi="Garamond"/>
          <w:sz w:val="25"/>
          <w:szCs w:val="25"/>
        </w:rPr>
      </w:pPr>
    </w:p>
    <w:p w14:paraId="67A50312" w14:textId="77777777" w:rsidR="007F15AF" w:rsidRDefault="007F15AF">
      <w:pPr>
        <w:jc w:val="both"/>
        <w:rPr>
          <w:rFonts w:ascii="Garamond" w:hAnsi="Garamond"/>
          <w:sz w:val="25"/>
          <w:szCs w:val="25"/>
        </w:rPr>
      </w:pPr>
    </w:p>
    <w:p w14:paraId="33DE9D68" w14:textId="6E105884" w:rsidR="00DA7D58" w:rsidRDefault="006567ED" w:rsidP="000069F8">
      <w:pPr>
        <w:jc w:val="center"/>
        <w:rPr>
          <w:rFonts w:ascii="Garamond" w:hAnsi="Garamond"/>
          <w:sz w:val="25"/>
          <w:szCs w:val="25"/>
        </w:rPr>
      </w:pPr>
      <w:r>
        <w:rPr>
          <w:rFonts w:ascii="Garamond" w:hAnsi="Garamond"/>
          <w:sz w:val="25"/>
          <w:szCs w:val="25"/>
        </w:rPr>
        <w:t>Constitution et domaine public</w:t>
      </w:r>
    </w:p>
    <w:p w14:paraId="22E33874" w14:textId="77777777" w:rsidR="0088170F" w:rsidRDefault="0088170F">
      <w:pPr>
        <w:jc w:val="both"/>
        <w:rPr>
          <w:rFonts w:ascii="Garamond" w:hAnsi="Garamond"/>
          <w:sz w:val="25"/>
          <w:szCs w:val="25"/>
        </w:rPr>
      </w:pPr>
    </w:p>
    <w:p w14:paraId="7E4960A4" w14:textId="77777777" w:rsidR="008E05F7" w:rsidRDefault="008E05F7">
      <w:pPr>
        <w:jc w:val="both"/>
        <w:rPr>
          <w:rFonts w:ascii="Garamond" w:hAnsi="Garamond"/>
          <w:sz w:val="25"/>
          <w:szCs w:val="25"/>
        </w:rPr>
      </w:pPr>
    </w:p>
    <w:p w14:paraId="600D66D1" w14:textId="77777777" w:rsidR="008E05F7" w:rsidRDefault="008E05F7">
      <w:pPr>
        <w:jc w:val="both"/>
        <w:rPr>
          <w:rFonts w:ascii="Garamond" w:hAnsi="Garamond"/>
          <w:sz w:val="25"/>
          <w:szCs w:val="25"/>
        </w:rPr>
      </w:pPr>
      <w:r>
        <w:rPr>
          <w:rFonts w:ascii="Garamond" w:hAnsi="Garamond"/>
          <w:b/>
          <w:bCs/>
          <w:sz w:val="25"/>
          <w:szCs w:val="25"/>
        </w:rPr>
        <w:t>Sujet pratique :</w:t>
      </w:r>
      <w:r>
        <w:rPr>
          <w:rFonts w:ascii="Garamond" w:hAnsi="Garamond"/>
          <w:sz w:val="25"/>
          <w:szCs w:val="25"/>
        </w:rPr>
        <w:t xml:space="preserve"> </w:t>
      </w:r>
      <w:r w:rsidR="00D97739">
        <w:rPr>
          <w:rFonts w:ascii="Garamond" w:hAnsi="Garamond"/>
          <w:sz w:val="25"/>
          <w:szCs w:val="25"/>
        </w:rPr>
        <w:t>Commentez l’arrêt suivant</w:t>
      </w:r>
      <w:r w:rsidR="00DA7D58">
        <w:rPr>
          <w:rFonts w:ascii="Garamond" w:hAnsi="Garamond"/>
          <w:sz w:val="25"/>
          <w:szCs w:val="25"/>
        </w:rPr>
        <w:t> :</w:t>
      </w:r>
    </w:p>
    <w:p w14:paraId="7D2E47D9" w14:textId="288C2A6F" w:rsidR="008E05F7" w:rsidRDefault="008E05F7">
      <w:pPr>
        <w:jc w:val="both"/>
        <w:rPr>
          <w:rFonts w:ascii="Garamond" w:hAnsi="Garamond"/>
          <w:sz w:val="25"/>
          <w:szCs w:val="25"/>
        </w:rPr>
      </w:pPr>
    </w:p>
    <w:p w14:paraId="2444AC8F" w14:textId="799CA151" w:rsidR="000069F8" w:rsidRDefault="000069F8">
      <w:pPr>
        <w:jc w:val="both"/>
        <w:rPr>
          <w:rFonts w:ascii="Garamond" w:hAnsi="Garamond"/>
          <w:sz w:val="25"/>
          <w:szCs w:val="25"/>
        </w:rPr>
      </w:pPr>
    </w:p>
    <w:p w14:paraId="08E5A98C" w14:textId="41798F86" w:rsidR="000069F8" w:rsidRDefault="000069F8" w:rsidP="000069F8">
      <w:pPr>
        <w:jc w:val="center"/>
        <w:rPr>
          <w:rFonts w:ascii="Garamond" w:hAnsi="Garamond"/>
          <w:sz w:val="25"/>
          <w:szCs w:val="25"/>
        </w:rPr>
      </w:pPr>
      <w:r>
        <w:rPr>
          <w:rFonts w:ascii="Garamond" w:hAnsi="Garamond"/>
          <w:sz w:val="25"/>
          <w:szCs w:val="25"/>
        </w:rPr>
        <w:t xml:space="preserve">CE, 12 mars 2021, </w:t>
      </w:r>
      <w:r w:rsidRPr="000069F8">
        <w:rPr>
          <w:rFonts w:ascii="Garamond" w:hAnsi="Garamond"/>
          <w:i/>
          <w:iCs/>
          <w:sz w:val="25"/>
          <w:szCs w:val="25"/>
        </w:rPr>
        <w:t>Conseil national des greffiers des tribunaux de commerce</w:t>
      </w:r>
    </w:p>
    <w:p w14:paraId="73874D8F" w14:textId="2E7DFF2C" w:rsidR="00BC6FEA" w:rsidRDefault="00BC6FEA">
      <w:pPr>
        <w:jc w:val="both"/>
        <w:rPr>
          <w:rFonts w:ascii="Garamond" w:hAnsi="Garamond"/>
          <w:sz w:val="25"/>
          <w:szCs w:val="25"/>
        </w:rPr>
      </w:pPr>
    </w:p>
    <w:p w14:paraId="32B30F6E" w14:textId="77777777" w:rsidR="000069F8" w:rsidRDefault="000069F8">
      <w:pPr>
        <w:jc w:val="both"/>
        <w:rPr>
          <w:rFonts w:ascii="Garamond" w:hAnsi="Garamond"/>
          <w:sz w:val="25"/>
          <w:szCs w:val="25"/>
        </w:rPr>
      </w:pPr>
    </w:p>
    <w:p w14:paraId="31F1F4DB"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Vu la procédure suivante :</w:t>
      </w:r>
    </w:p>
    <w:p w14:paraId="24E45CBB" w14:textId="77777777" w:rsidR="000069F8" w:rsidRDefault="000069F8" w:rsidP="000069F8">
      <w:pPr>
        <w:jc w:val="both"/>
        <w:rPr>
          <w:rFonts w:ascii="Garamond" w:hAnsi="Garamond" w:cs="Arial"/>
          <w:color w:val="3C3C3C"/>
          <w:sz w:val="25"/>
          <w:szCs w:val="25"/>
        </w:rPr>
      </w:pPr>
    </w:p>
    <w:p w14:paraId="06DE99EC"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Par une requête et un mémoire en réplique enregistrés le 29 juillet 2020 et le 17 février 2021 au secrétariat du contentieux du Conseil d'Etat, le Conseil national des greffiers des tribunaux de commerce demande au Conseil d'Etat :</w:t>
      </w:r>
    </w:p>
    <w:p w14:paraId="721CFA19"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1°) d'annuler l'instruction du 6 février 2020 de la garde des sceaux, ministre de la justice, et du ministre de l'action et des comptes publics, relative à l'occupation des locaux judiciaires par les greffiers des tribunaux de commerce ;</w:t>
      </w:r>
    </w:p>
    <w:p w14:paraId="2D8DD712"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2°) de mettre à la charge de l'Etat la somme de 4 000 euros au titre de l'article L. 761-1 du code de justice administrative.</w:t>
      </w:r>
    </w:p>
    <w:p w14:paraId="207BFEA6" w14:textId="77777777" w:rsidR="000069F8" w:rsidRPr="000069F8" w:rsidRDefault="000069F8" w:rsidP="000069F8">
      <w:pPr>
        <w:jc w:val="both"/>
        <w:rPr>
          <w:rFonts w:ascii="Garamond" w:hAnsi="Garamond" w:cs="Arial"/>
          <w:i/>
          <w:iCs/>
          <w:color w:val="3C3C3C"/>
          <w:sz w:val="25"/>
          <w:szCs w:val="25"/>
        </w:rPr>
      </w:pPr>
      <w:r w:rsidRPr="000069F8">
        <w:rPr>
          <w:rFonts w:ascii="Garamond" w:hAnsi="Garamond" w:cs="Arial"/>
          <w:color w:val="3C3C3C"/>
          <w:sz w:val="25"/>
          <w:szCs w:val="25"/>
        </w:rPr>
        <w:lastRenderedPageBreak/>
        <w:br/>
      </w:r>
      <w:r w:rsidRPr="000069F8">
        <w:rPr>
          <w:rFonts w:ascii="Garamond" w:hAnsi="Garamond" w:cs="Arial"/>
          <w:i/>
          <w:iCs/>
          <w:color w:val="3C3C3C"/>
          <w:sz w:val="25"/>
          <w:szCs w:val="25"/>
          <w:shd w:val="clear" w:color="auto" w:fill="FFFFFF"/>
        </w:rPr>
        <w:t>Considérant ce qui suit :</w:t>
      </w:r>
    </w:p>
    <w:p w14:paraId="19B47D22" w14:textId="77777777" w:rsidR="000069F8" w:rsidRDefault="000069F8" w:rsidP="000069F8">
      <w:pPr>
        <w:jc w:val="both"/>
        <w:rPr>
          <w:rFonts w:ascii="Garamond" w:hAnsi="Garamond" w:cs="Arial"/>
          <w:color w:val="3C3C3C"/>
          <w:sz w:val="25"/>
          <w:szCs w:val="25"/>
        </w:rPr>
      </w:pPr>
    </w:p>
    <w:p w14:paraId="3B77E041" w14:textId="17460BB6"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1. Par une instruction du 6 février 2020 relative à l'occupation des locaux judiciaires par les greffiers des tribunaux de commerce, la garde des sceaux, ministre de la justice et le ministre de l'action et des comptes publics, après avoir énoncé que toute occupation des locaux judiciaires appartenant à l'Etat ou mis à sa disposition donne lieu à la délivrance d'un titre d'occupation et au paiement d'une redevance domaniale, ont adressé aux services trois documents annexes en vue de leur permettre " de régulariser la situation des greffiers des tribunaux de commerce au regard de leur occupation des locaux au sein des palais de justice, situés sur le domaine public de l'Etat ou mis à sa disposition " par l'établissement de titres d'occupation assortis de redevances. La première annexe est une fiche consacrée au rappel des règles et principes relatifs à l'occupation des dépendances du domaine public. La deuxième comporte un modèle d'autorisation temporaire du domaine public auquel les services gestionnaires sont invités à se conformer pour la délivrance de titres d'occupation aux greffiers des tribunaux de commerce. La troisième comporte une typologie des locaux des tribunaux de commerce occupés par les greffes susceptibles de donner lieu au paiement d'une redevance. Le Conseil national des greffiers des tribunaux de commerce forme un recours pour excès de pouvoir contre cette instruction.</w:t>
      </w:r>
    </w:p>
    <w:p w14:paraId="753C0434" w14:textId="1A7A3CD9" w:rsidR="000069F8" w:rsidRDefault="000069F8" w:rsidP="000069F8">
      <w:pPr>
        <w:jc w:val="both"/>
        <w:rPr>
          <w:rFonts w:ascii="Garamond" w:hAnsi="Garamond" w:cs="Arial"/>
          <w:color w:val="3C3C3C"/>
          <w:sz w:val="25"/>
          <w:szCs w:val="25"/>
        </w:rPr>
      </w:pPr>
    </w:p>
    <w:p w14:paraId="5E7D1158" w14:textId="084E48E1" w:rsidR="000069F8" w:rsidRDefault="000069F8" w:rsidP="000069F8">
      <w:pPr>
        <w:jc w:val="both"/>
        <w:rPr>
          <w:rFonts w:ascii="Garamond" w:hAnsi="Garamond" w:cs="Arial"/>
          <w:color w:val="3C3C3C"/>
          <w:sz w:val="25"/>
          <w:szCs w:val="25"/>
        </w:rPr>
      </w:pPr>
      <w:r>
        <w:rPr>
          <w:rFonts w:ascii="Garamond" w:hAnsi="Garamond" w:cs="Arial"/>
          <w:color w:val="3C3C3C"/>
          <w:sz w:val="25"/>
          <w:szCs w:val="25"/>
        </w:rPr>
        <w:t>[…]</w:t>
      </w:r>
    </w:p>
    <w:p w14:paraId="4E7D0AC5" w14:textId="77777777" w:rsidR="000069F8" w:rsidRPr="000069F8" w:rsidRDefault="000069F8" w:rsidP="000069F8">
      <w:pPr>
        <w:jc w:val="both"/>
        <w:rPr>
          <w:rFonts w:ascii="Garamond" w:hAnsi="Garamond" w:cs="Arial"/>
          <w:i/>
          <w:iCs/>
          <w:color w:val="3C3C3C"/>
          <w:sz w:val="25"/>
          <w:szCs w:val="25"/>
        </w:rPr>
      </w:pPr>
      <w:r w:rsidRPr="000069F8">
        <w:rPr>
          <w:rFonts w:ascii="Garamond" w:hAnsi="Garamond" w:cs="Arial"/>
          <w:color w:val="3C3C3C"/>
          <w:sz w:val="25"/>
          <w:szCs w:val="25"/>
        </w:rPr>
        <w:br/>
      </w:r>
      <w:r w:rsidRPr="000069F8">
        <w:rPr>
          <w:rFonts w:ascii="Garamond" w:hAnsi="Garamond" w:cs="Arial"/>
          <w:i/>
          <w:iCs/>
          <w:color w:val="3C3C3C"/>
          <w:sz w:val="25"/>
          <w:szCs w:val="25"/>
          <w:shd w:val="clear" w:color="auto" w:fill="FFFFFF"/>
        </w:rPr>
        <w:t>Sur la légalité de l'instruction attaquée :</w:t>
      </w:r>
    </w:p>
    <w:p w14:paraId="2C93C8A6" w14:textId="77777777" w:rsidR="000069F8" w:rsidRDefault="000069F8" w:rsidP="000069F8">
      <w:pPr>
        <w:jc w:val="both"/>
        <w:rPr>
          <w:rFonts w:ascii="Garamond" w:hAnsi="Garamond" w:cs="Arial"/>
          <w:color w:val="3C3C3C"/>
          <w:sz w:val="25"/>
          <w:szCs w:val="25"/>
        </w:rPr>
      </w:pPr>
    </w:p>
    <w:p w14:paraId="74107421" w14:textId="77777777" w:rsidR="000069F8" w:rsidRDefault="000069F8" w:rsidP="000069F8">
      <w:pPr>
        <w:jc w:val="both"/>
        <w:rPr>
          <w:rFonts w:ascii="Garamond" w:hAnsi="Garamond" w:cs="Arial"/>
          <w:color w:val="3C3C3C"/>
          <w:sz w:val="25"/>
          <w:szCs w:val="25"/>
        </w:rPr>
      </w:pPr>
      <w:r>
        <w:rPr>
          <w:rFonts w:ascii="Garamond" w:hAnsi="Garamond" w:cs="Arial"/>
          <w:color w:val="3C3C3C"/>
          <w:sz w:val="25"/>
          <w:szCs w:val="25"/>
        </w:rPr>
        <w:t>[…]</w:t>
      </w:r>
    </w:p>
    <w:p w14:paraId="39D790B2" w14:textId="1DD6BE9A" w:rsidR="000069F8" w:rsidRDefault="000069F8" w:rsidP="000069F8">
      <w:pPr>
        <w:jc w:val="both"/>
        <w:rPr>
          <w:rFonts w:ascii="Garamond" w:hAnsi="Garamond" w:cs="Arial"/>
          <w:color w:val="3C3C3C"/>
          <w:sz w:val="25"/>
          <w:szCs w:val="25"/>
          <w:shd w:val="clear" w:color="auto" w:fill="FFFFFF"/>
        </w:rPr>
      </w:pPr>
    </w:p>
    <w:p w14:paraId="525AEDCA" w14:textId="77777777" w:rsidR="000069F8" w:rsidRDefault="000069F8" w:rsidP="000069F8">
      <w:pPr>
        <w:jc w:val="both"/>
        <w:rPr>
          <w:rFonts w:ascii="Garamond" w:hAnsi="Garamond" w:cs="Arial"/>
          <w:color w:val="3C3C3C"/>
          <w:sz w:val="25"/>
          <w:szCs w:val="25"/>
        </w:rPr>
      </w:pPr>
    </w:p>
    <w:p w14:paraId="35CD7CD4" w14:textId="273AACCE"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8. En deuxième lieu, en vertu de l'article 2 du décret du 9 juillet 2008 relatif à l'organisation du ministère de la justice, le secrétaire général est notamment responsable de la politique immobilière du ministère. Il en résulte qu'il entrait dans les attributions de la secrétaire générale du ministère de la justice de préciser, à l'intention des chefs de juridictions qui sont les services gestionnaires des dépendances domaniales affectées au service public judiciaire, les conditions dans lesquelles ils sont habilités à consentir des titres d'occupation aux occupants de ces dépendances. Le Conseil national des greffiers des tribunaux de commerce n'est ainsi pas fondé à soutenir que la secrétaire générale du ministère de la justice aurait été incompétente pour signer l'instruction interministérielle attaquée au nom de la garde des sceaux, ministre de la justice.</w:t>
      </w:r>
      <w:r w:rsidRPr="000069F8">
        <w:rPr>
          <w:rFonts w:ascii="Garamond" w:hAnsi="Garamond" w:cs="Arial"/>
          <w:color w:val="3C3C3C"/>
          <w:sz w:val="25"/>
          <w:szCs w:val="25"/>
        </w:rPr>
        <w:br/>
      </w:r>
      <w:r w:rsidRPr="000069F8">
        <w:rPr>
          <w:rFonts w:ascii="Garamond" w:hAnsi="Garamond" w:cs="Arial"/>
          <w:color w:val="3C3C3C"/>
          <w:sz w:val="25"/>
          <w:szCs w:val="25"/>
        </w:rPr>
        <w:br/>
      </w:r>
      <w:r w:rsidRPr="000069F8">
        <w:rPr>
          <w:rFonts w:ascii="Garamond" w:hAnsi="Garamond" w:cs="Arial"/>
          <w:color w:val="3C3C3C"/>
          <w:sz w:val="25"/>
          <w:szCs w:val="25"/>
          <w:shd w:val="clear" w:color="auto" w:fill="FFFFFF"/>
        </w:rPr>
        <w:t xml:space="preserve">9. En troisième lieu, d'une part, aux termes de l'article L. 2111-1 du code général de la propriété des personnes publiques : " Sous réserve de dispositions législatives spéciales, le domaine public d'une personne publique mentionnée à l'article L. 1 est constitué des biens lui appartenant qui sont soit affectés à l'usage direct du public, soit affectés à un service public pourvu qu'en ce cas ils fassent l'objet d'un aménagement indispensable à l'exécution des missions de ce service public ". Aux termes de l'article L. 2121-1 du même code : " Les biens du domaine public sont utilisés conformément à leur affectation à l'utilité publique (...) ". Aux termes de l'article L. 2122-1 du même code : " Nul ne peut, sans disposer d'un titre l'y habilitant, occuper une dépendance du domaine public d'une personne publique mentionnée à l'article L. 1 ou l'utiliser dans des limites dépassant le droit d'usage qui appartient à tous (...) ". Aux termes de l'article L. 2125-1 du même code : " Toute occupation ou utilisation du domaine public d'une personne </w:t>
      </w:r>
      <w:r w:rsidRPr="000069F8">
        <w:rPr>
          <w:rFonts w:ascii="Garamond" w:hAnsi="Garamond" w:cs="Arial"/>
          <w:color w:val="3C3C3C"/>
          <w:sz w:val="25"/>
          <w:szCs w:val="25"/>
          <w:shd w:val="clear" w:color="auto" w:fill="FFFFFF"/>
        </w:rPr>
        <w:lastRenderedPageBreak/>
        <w:t xml:space="preserve">publique mentionnée à l'article L. 1 donne lieu au paiement d'une redevance (...) ". Aux termes de l'article L. 2125-3 du même code : " La redevance due pour l'occupation ou l'utilisation du domaine public tient compte des avantages de toute </w:t>
      </w:r>
      <w:proofErr w:type="gramStart"/>
      <w:r w:rsidRPr="000069F8">
        <w:rPr>
          <w:rFonts w:ascii="Garamond" w:hAnsi="Garamond" w:cs="Arial"/>
          <w:color w:val="3C3C3C"/>
          <w:sz w:val="25"/>
          <w:szCs w:val="25"/>
          <w:shd w:val="clear" w:color="auto" w:fill="FFFFFF"/>
        </w:rPr>
        <w:t>nature</w:t>
      </w:r>
      <w:r>
        <w:rPr>
          <w:rFonts w:ascii="Garamond" w:hAnsi="Garamond" w:cs="Arial"/>
          <w:color w:val="3C3C3C"/>
          <w:sz w:val="25"/>
          <w:szCs w:val="25"/>
          <w:shd w:val="clear" w:color="auto" w:fill="FFFFFF"/>
        </w:rPr>
        <w:t xml:space="preserve"> </w:t>
      </w:r>
      <w:r w:rsidRPr="000069F8">
        <w:rPr>
          <w:rFonts w:ascii="Garamond" w:hAnsi="Garamond" w:cs="Arial"/>
          <w:color w:val="3C3C3C"/>
          <w:sz w:val="25"/>
          <w:szCs w:val="25"/>
          <w:shd w:val="clear" w:color="auto" w:fill="FFFFFF"/>
        </w:rPr>
        <w:t>procurés</w:t>
      </w:r>
      <w:proofErr w:type="gramEnd"/>
      <w:r w:rsidRPr="000069F8">
        <w:rPr>
          <w:rFonts w:ascii="Garamond" w:hAnsi="Garamond" w:cs="Arial"/>
          <w:color w:val="3C3C3C"/>
          <w:sz w:val="25"/>
          <w:szCs w:val="25"/>
          <w:shd w:val="clear" w:color="auto" w:fill="FFFFFF"/>
        </w:rPr>
        <w:t xml:space="preserve"> au titulaire de l'autorisation</w:t>
      </w:r>
      <w:r>
        <w:rPr>
          <w:rFonts w:ascii="Garamond" w:hAnsi="Garamond" w:cs="Arial"/>
          <w:color w:val="3C3C3C"/>
          <w:sz w:val="25"/>
          <w:szCs w:val="25"/>
          <w:shd w:val="clear" w:color="auto" w:fill="FFFFFF"/>
        </w:rPr>
        <w:t> ».</w:t>
      </w:r>
      <w:r w:rsidRPr="000069F8">
        <w:rPr>
          <w:rFonts w:ascii="Garamond" w:hAnsi="Garamond" w:cs="Arial"/>
          <w:color w:val="3C3C3C"/>
          <w:sz w:val="25"/>
          <w:szCs w:val="25"/>
        </w:rPr>
        <w:br/>
      </w:r>
      <w:r w:rsidRPr="000069F8">
        <w:rPr>
          <w:rFonts w:ascii="Garamond" w:hAnsi="Garamond" w:cs="Arial"/>
          <w:color w:val="3C3C3C"/>
          <w:sz w:val="25"/>
          <w:szCs w:val="25"/>
        </w:rPr>
        <w:br/>
      </w:r>
      <w:r w:rsidRPr="000069F8">
        <w:rPr>
          <w:rFonts w:ascii="Garamond" w:hAnsi="Garamond" w:cs="Arial"/>
          <w:color w:val="3C3C3C"/>
          <w:sz w:val="25"/>
          <w:szCs w:val="25"/>
          <w:shd w:val="clear" w:color="auto" w:fill="FFFFFF"/>
        </w:rPr>
        <w:t>10. D'autre part, aux termes de l'article L. 712-1 du code de commerce : " Les tribunaux de commerce sont des juridictions du premier degré, composées de juges élus et d'un greffier. Leur compétence est déterminée par le présent code et les codes et lois particuliers. Les tribunaux de commerce sont soumis aux dispositions, communes à toutes les juridictions, du livre Ier du code de l'organisation judiciaire ". Aux terme</w:t>
      </w:r>
      <w:r>
        <w:rPr>
          <w:rFonts w:ascii="Garamond" w:hAnsi="Garamond" w:cs="Arial"/>
          <w:color w:val="3C3C3C"/>
          <w:sz w:val="25"/>
          <w:szCs w:val="25"/>
          <w:shd w:val="clear" w:color="auto" w:fill="FFFFFF"/>
        </w:rPr>
        <w:t>s</w:t>
      </w:r>
      <w:r w:rsidRPr="000069F8">
        <w:rPr>
          <w:rFonts w:ascii="Garamond" w:hAnsi="Garamond" w:cs="Arial"/>
          <w:color w:val="3C3C3C"/>
          <w:sz w:val="25"/>
          <w:szCs w:val="25"/>
          <w:shd w:val="clear" w:color="auto" w:fill="FFFFFF"/>
        </w:rPr>
        <w:t xml:space="preserve"> de l'article L. 741-1 du même code : " Les greffiers des tribunaux de commerce sont des officiers publics et ministériels (...) ".</w:t>
      </w:r>
      <w:r w:rsidRPr="000069F8">
        <w:rPr>
          <w:rFonts w:ascii="Garamond" w:hAnsi="Garamond" w:cs="Arial"/>
          <w:color w:val="3C3C3C"/>
          <w:sz w:val="25"/>
          <w:szCs w:val="25"/>
        </w:rPr>
        <w:br/>
      </w:r>
    </w:p>
    <w:p w14:paraId="110421DF" w14:textId="5C0ECF26" w:rsidR="000069F8" w:rsidRDefault="000069F8" w:rsidP="000069F8">
      <w:pPr>
        <w:jc w:val="both"/>
        <w:rPr>
          <w:rFonts w:ascii="Garamond" w:hAnsi="Garamond" w:cs="Arial"/>
          <w:color w:val="3C3C3C"/>
          <w:sz w:val="25"/>
          <w:szCs w:val="25"/>
        </w:rPr>
      </w:pPr>
      <w:r>
        <w:rPr>
          <w:rFonts w:ascii="Garamond" w:hAnsi="Garamond" w:cs="Arial"/>
          <w:color w:val="3C3C3C"/>
          <w:sz w:val="25"/>
          <w:szCs w:val="25"/>
        </w:rPr>
        <w:t>[…]</w:t>
      </w:r>
    </w:p>
    <w:p w14:paraId="4C91565F"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rPr>
        <w:br/>
      </w:r>
      <w:r w:rsidRPr="000069F8">
        <w:rPr>
          <w:rFonts w:ascii="Garamond" w:hAnsi="Garamond" w:cs="Arial"/>
          <w:color w:val="3C3C3C"/>
          <w:sz w:val="25"/>
          <w:szCs w:val="25"/>
          <w:shd w:val="clear" w:color="auto" w:fill="FFFFFF"/>
        </w:rPr>
        <w:t>12. Si les greffiers des tribunaux de commerce participent, à raison de l'exercice des missions non détachables de l'activité juridictionnelle qui leur sont confiées, notamment par l'article R. 741-1 et, pour partie, l'article R. 741-2 du code de commerce, à la mise en œuvre du service public de la justice commerciale auquel sont affectés les locaux des tribunaux de commerce et ne sauraient, par suite et dans cette mesure, être regardés comme en faisant une utilisation ou une occupation privative, il en va différemment des locaux occupés par ces greffiers pour l'exercice des missions distinctes, de nature non juridictionnelle, qui leur sont par ailleurs confiées par les lois et règlements, telles que la tenue du registre du commerce et des sociétés ou celles relevant des centres des formalités des entreprises. Le Conseil national des greffiers des tribunaux de commerce n'est ainsi pas fondé à soutenir que les greffiers des tribunaux de commerce ne sauraient être regardés, lorsqu'ils exercent de telles activités dans les locaux des tribunaux de commerce, comme se livrant à une occupation ou une utilisation privative du domaine public.</w:t>
      </w:r>
    </w:p>
    <w:p w14:paraId="0E374DB7" w14:textId="77777777" w:rsidR="000069F8" w:rsidRDefault="000069F8" w:rsidP="000069F8">
      <w:pPr>
        <w:jc w:val="both"/>
        <w:rPr>
          <w:rFonts w:ascii="Garamond" w:hAnsi="Garamond" w:cs="Arial"/>
          <w:color w:val="3C3C3C"/>
          <w:sz w:val="25"/>
          <w:szCs w:val="25"/>
        </w:rPr>
      </w:pPr>
    </w:p>
    <w:p w14:paraId="5816ED1A"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13. Il en résulte que, conformément aux règles qui découlent des articles L. 2122-1 et L. 2125-1 du code général de la propriété des personnes publiques, l'occupation, par les greffiers des tribunaux de commerce, des locaux des tribunaux de commerce qu'ils consacrent à l'exercices de celles de leurs missions qui revêtent un caractère détachable de l'activité juridictionnelle de ces tribunaux, est subordonnée à la condition qu'ils disposent d'un titre d'occupation et s'acquittent d'une redevance. Le Conseil national des greffiers des tribunaux de commerce n'est pas fondé à se prévaloir, au soutien de sa contestation de l'interprétation des textes donnée par l'instruction attaquée, de ce que le caractère précaire et révocable des occupations privatives du domaine public, d'une part, et les obligations de publicité et de mise en concurrence prévues par l'article L. 2122-1-1 du code général de la propriété des personnes publiques en cas d'occupation ou d'utilisation du domaine public en vue d'une exploitation économique, d'autre part, seraient incompatibles avec l'exercice de leurs missions par les greffiers des tribunaux de commerce, dès lors que ne sont en cause que les missions qui, ne se rattachant pas à l'activité juridictionnelle des tribunaux de commerce, n'ont pas nécessairement vocation à être exercées au sein des locaux de ces tribunaux.</w:t>
      </w:r>
    </w:p>
    <w:p w14:paraId="59A515FB" w14:textId="77777777" w:rsidR="000069F8" w:rsidRDefault="000069F8" w:rsidP="000069F8">
      <w:pPr>
        <w:jc w:val="both"/>
        <w:rPr>
          <w:rFonts w:ascii="Garamond" w:hAnsi="Garamond" w:cs="Arial"/>
          <w:color w:val="3C3C3C"/>
          <w:sz w:val="25"/>
          <w:szCs w:val="25"/>
        </w:rPr>
      </w:pPr>
    </w:p>
    <w:p w14:paraId="7BB129A9"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 xml:space="preserve">14. Toutefois, il résulte de ce qui a été dit au point 12 que les gestionnaires du domaine public ne sauraient, en vertu des articles L. 2122-1 et L. 2125-1 du code général de la propriété des personnes publiques, soumettre à autorisation et au paiement d'une redevance l'occupation ou l'utilisation des locaux des tribunaux de commerce pour l'exercice, par les greffiers de ces tribunaux, de celles de leurs missions qui ne sont pas détachables de l'activité juridictionnelle, </w:t>
      </w:r>
      <w:r w:rsidRPr="000069F8">
        <w:rPr>
          <w:rFonts w:ascii="Garamond" w:hAnsi="Garamond" w:cs="Arial"/>
          <w:color w:val="3C3C3C"/>
          <w:sz w:val="25"/>
          <w:szCs w:val="25"/>
          <w:shd w:val="clear" w:color="auto" w:fill="FFFFFF"/>
        </w:rPr>
        <w:lastRenderedPageBreak/>
        <w:t xml:space="preserve">quand bien même les locaux en cause ne seraient pas exclusivement consacrés à ces activités. Il en résulte que le Conseil national des greffiers des tribunaux de commerce est fondé à demander l'annulation des cinquième et </w:t>
      </w:r>
      <w:proofErr w:type="gramStart"/>
      <w:r w:rsidRPr="000069F8">
        <w:rPr>
          <w:rFonts w:ascii="Garamond" w:hAnsi="Garamond" w:cs="Arial"/>
          <w:color w:val="3C3C3C"/>
          <w:sz w:val="25"/>
          <w:szCs w:val="25"/>
          <w:shd w:val="clear" w:color="auto" w:fill="FFFFFF"/>
        </w:rPr>
        <w:t>sixième alinéas</w:t>
      </w:r>
      <w:proofErr w:type="gramEnd"/>
      <w:r w:rsidRPr="000069F8">
        <w:rPr>
          <w:rFonts w:ascii="Garamond" w:hAnsi="Garamond" w:cs="Arial"/>
          <w:color w:val="3C3C3C"/>
          <w:sz w:val="25"/>
          <w:szCs w:val="25"/>
          <w:shd w:val="clear" w:color="auto" w:fill="FFFFFF"/>
        </w:rPr>
        <w:t xml:space="preserve"> du paragraphe 2.2 de l'annexe 1 de l'instruction, de la seconde phrase du premier alinéa du paragraphe 2.3 de la même annexe et des lignes de l'annexe 3 de cette instruction qui mentionnent l'application d'un abattement de 50 %.</w:t>
      </w:r>
    </w:p>
    <w:p w14:paraId="2519E170" w14:textId="77777777" w:rsidR="000069F8" w:rsidRDefault="000069F8" w:rsidP="000069F8">
      <w:pPr>
        <w:jc w:val="both"/>
        <w:rPr>
          <w:rFonts w:ascii="Garamond" w:hAnsi="Garamond" w:cs="Arial"/>
          <w:color w:val="3C3C3C"/>
          <w:sz w:val="25"/>
          <w:szCs w:val="25"/>
        </w:rPr>
      </w:pPr>
    </w:p>
    <w:p w14:paraId="4241DB25" w14:textId="5698203E" w:rsidR="000069F8" w:rsidRDefault="000069F8" w:rsidP="000069F8">
      <w:pPr>
        <w:jc w:val="both"/>
        <w:rPr>
          <w:rFonts w:ascii="Garamond" w:hAnsi="Garamond" w:cs="Arial"/>
          <w:color w:val="3C3C3C"/>
          <w:sz w:val="25"/>
          <w:szCs w:val="25"/>
          <w:shd w:val="clear" w:color="auto" w:fill="FFFFFF"/>
        </w:rPr>
      </w:pPr>
      <w:r w:rsidRPr="000069F8">
        <w:rPr>
          <w:rFonts w:ascii="Garamond" w:hAnsi="Garamond" w:cs="Arial"/>
          <w:color w:val="3C3C3C"/>
          <w:sz w:val="25"/>
          <w:szCs w:val="25"/>
          <w:shd w:val="clear" w:color="auto" w:fill="FFFFFF"/>
        </w:rPr>
        <w:t>15. Il n'y a pas lieu, dans les circonstances de l'espèce, de mettre à la charge de l'Etat une somme à verser au Conseil national des greffiers des tribunaux de commerce au titre de l'article L. 761-1 du code de justice administrative</w:t>
      </w:r>
      <w:r>
        <w:rPr>
          <w:rFonts w:ascii="Garamond" w:hAnsi="Garamond" w:cs="Arial"/>
          <w:color w:val="3C3C3C"/>
          <w:sz w:val="25"/>
          <w:szCs w:val="25"/>
          <w:shd w:val="clear" w:color="auto" w:fill="FFFFFF"/>
        </w:rPr>
        <w:t>.</w:t>
      </w:r>
    </w:p>
    <w:p w14:paraId="00D32FAA"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rPr>
        <w:br/>
      </w:r>
      <w:r w:rsidRPr="000069F8">
        <w:rPr>
          <w:rFonts w:ascii="Garamond" w:hAnsi="Garamond" w:cs="Arial"/>
          <w:color w:val="3C3C3C"/>
          <w:sz w:val="25"/>
          <w:szCs w:val="25"/>
        </w:rPr>
        <w:br/>
      </w:r>
      <w:r w:rsidRPr="000069F8">
        <w:rPr>
          <w:rFonts w:ascii="Garamond" w:hAnsi="Garamond" w:cs="Arial"/>
          <w:color w:val="3C3C3C"/>
          <w:sz w:val="25"/>
          <w:szCs w:val="25"/>
          <w:shd w:val="clear" w:color="auto" w:fill="FFFFFF"/>
        </w:rPr>
        <w:t>D E C I D E :</w:t>
      </w:r>
    </w:p>
    <w:p w14:paraId="32F6149B"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Article 1er : Les cinquième et sixième alinéas du paragraphe 2.2 de l'annexe 1 de l'instruction du 6 février 2020 de la garde des sceaux, ministre de la justice et du ministre de l'action et des comptes publics, relative à l'occupation des locaux judiciaires par les greffiers des tribunaux de commerce, la seconde phrase du premier alinéa du paragraphe 2.3 de la même annexe et les lignes de l'annexe 3 de cette instruction, lorsqu'elles mentionnent l'application d'un abattement de 50 %, sont annulés.</w:t>
      </w:r>
    </w:p>
    <w:p w14:paraId="6C823724" w14:textId="77777777" w:rsidR="000069F8" w:rsidRDefault="000069F8" w:rsidP="000069F8">
      <w:pPr>
        <w:jc w:val="both"/>
        <w:rPr>
          <w:rFonts w:ascii="Garamond" w:hAnsi="Garamond" w:cs="Arial"/>
          <w:color w:val="3C3C3C"/>
          <w:sz w:val="25"/>
          <w:szCs w:val="25"/>
        </w:rPr>
      </w:pPr>
      <w:r w:rsidRPr="000069F8">
        <w:rPr>
          <w:rFonts w:ascii="Garamond" w:hAnsi="Garamond" w:cs="Arial"/>
          <w:color w:val="3C3C3C"/>
          <w:sz w:val="25"/>
          <w:szCs w:val="25"/>
          <w:shd w:val="clear" w:color="auto" w:fill="FFFFFF"/>
        </w:rPr>
        <w:t>Article 2 : Le surplus des conclusions du Conseil national des greffiers des tribunaux de commerce est rejeté.</w:t>
      </w:r>
    </w:p>
    <w:p w14:paraId="64FF5B34" w14:textId="6CA40C8C" w:rsidR="005948B7" w:rsidRPr="000069F8" w:rsidRDefault="000069F8" w:rsidP="000069F8">
      <w:pPr>
        <w:jc w:val="both"/>
        <w:rPr>
          <w:rFonts w:ascii="Garamond" w:hAnsi="Garamond"/>
          <w:sz w:val="25"/>
          <w:szCs w:val="25"/>
        </w:rPr>
      </w:pPr>
      <w:r w:rsidRPr="000069F8">
        <w:rPr>
          <w:rFonts w:ascii="Garamond" w:hAnsi="Garamond" w:cs="Arial"/>
          <w:color w:val="3C3C3C"/>
          <w:sz w:val="25"/>
          <w:szCs w:val="25"/>
          <w:shd w:val="clear" w:color="auto" w:fill="FFFFFF"/>
        </w:rPr>
        <w:t>Article 3 : La présente décision sera notifiée au Conseil national des greffiers des tribunaux de commerce, au garde des sceaux, ministre de la justice et au ministre de l'économie, des finances et de la relance.</w:t>
      </w:r>
    </w:p>
    <w:sectPr w:rsidR="005948B7" w:rsidRPr="000069F8" w:rsidSect="00A974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FC5A" w14:textId="77777777" w:rsidR="001D774B" w:rsidRDefault="001D774B">
      <w:r>
        <w:separator/>
      </w:r>
    </w:p>
  </w:endnote>
  <w:endnote w:type="continuationSeparator" w:id="0">
    <w:p w14:paraId="12A1152F" w14:textId="77777777" w:rsidR="001D774B" w:rsidRDefault="001D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F14E" w14:textId="77777777" w:rsidR="003674C9" w:rsidRDefault="003674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AFE2" w14:textId="77777777" w:rsidR="003674C9" w:rsidRDefault="003674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954" w14:textId="77777777" w:rsidR="003E3A3F" w:rsidRDefault="003E3A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4B7D" w14:textId="77777777" w:rsidR="001D774B" w:rsidRDefault="001D774B">
      <w:r>
        <w:separator/>
      </w:r>
    </w:p>
  </w:footnote>
  <w:footnote w:type="continuationSeparator" w:id="0">
    <w:p w14:paraId="00C40434" w14:textId="77777777" w:rsidR="001D774B" w:rsidRDefault="001D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A67A" w14:textId="77777777" w:rsidR="001F4C76" w:rsidRDefault="001F4C7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54612C" w14:textId="77777777" w:rsidR="001F4C76" w:rsidRDefault="001F4C7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2814" w14:textId="77777777" w:rsidR="001F4C76" w:rsidRDefault="001F4C76">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8DB0" w14:textId="77777777" w:rsidR="003674C9" w:rsidRDefault="003674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761EA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C857980"/>
    <w:multiLevelType w:val="hybridMultilevel"/>
    <w:tmpl w:val="38E4EAC2"/>
    <w:lvl w:ilvl="0" w:tplc="CE485C66">
      <w:start w:val="1"/>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24E3B16"/>
    <w:multiLevelType w:val="hybridMultilevel"/>
    <w:tmpl w:val="4E4C504E"/>
    <w:lvl w:ilvl="0" w:tplc="CBA63B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B76E9A"/>
    <w:multiLevelType w:val="hybridMultilevel"/>
    <w:tmpl w:val="602E3C30"/>
    <w:lvl w:ilvl="0" w:tplc="C0DC349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630916C0"/>
    <w:multiLevelType w:val="hybridMultilevel"/>
    <w:tmpl w:val="3CB097CC"/>
    <w:lvl w:ilvl="0" w:tplc="9E3E5B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8B099F"/>
    <w:multiLevelType w:val="hybridMultilevel"/>
    <w:tmpl w:val="573641F2"/>
    <w:lvl w:ilvl="0" w:tplc="68785C8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7B221D1B"/>
    <w:multiLevelType w:val="hybridMultilevel"/>
    <w:tmpl w:val="6CA09BDA"/>
    <w:lvl w:ilvl="0" w:tplc="4426D9C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C9"/>
    <w:rsid w:val="000002B3"/>
    <w:rsid w:val="000018ED"/>
    <w:rsid w:val="00004CAA"/>
    <w:rsid w:val="000069F8"/>
    <w:rsid w:val="00010CB1"/>
    <w:rsid w:val="00015379"/>
    <w:rsid w:val="00016208"/>
    <w:rsid w:val="00016521"/>
    <w:rsid w:val="00017766"/>
    <w:rsid w:val="00021032"/>
    <w:rsid w:val="000234DE"/>
    <w:rsid w:val="00025502"/>
    <w:rsid w:val="00025D23"/>
    <w:rsid w:val="000260D8"/>
    <w:rsid w:val="0002610A"/>
    <w:rsid w:val="0002645F"/>
    <w:rsid w:val="00026E21"/>
    <w:rsid w:val="000277B1"/>
    <w:rsid w:val="00035084"/>
    <w:rsid w:val="00040BD0"/>
    <w:rsid w:val="000417B0"/>
    <w:rsid w:val="00041B17"/>
    <w:rsid w:val="0004746A"/>
    <w:rsid w:val="000532E1"/>
    <w:rsid w:val="00057F10"/>
    <w:rsid w:val="00060A08"/>
    <w:rsid w:val="000614DD"/>
    <w:rsid w:val="0006290A"/>
    <w:rsid w:val="00063493"/>
    <w:rsid w:val="00065CAE"/>
    <w:rsid w:val="0007085A"/>
    <w:rsid w:val="00070E5C"/>
    <w:rsid w:val="000736CA"/>
    <w:rsid w:val="00073E97"/>
    <w:rsid w:val="00080DAF"/>
    <w:rsid w:val="00082BE4"/>
    <w:rsid w:val="00083B49"/>
    <w:rsid w:val="00087291"/>
    <w:rsid w:val="000905EC"/>
    <w:rsid w:val="00091A9F"/>
    <w:rsid w:val="00093DA2"/>
    <w:rsid w:val="00095BA8"/>
    <w:rsid w:val="00095CD3"/>
    <w:rsid w:val="000A15B1"/>
    <w:rsid w:val="000A6F10"/>
    <w:rsid w:val="000B2E4A"/>
    <w:rsid w:val="000B31B5"/>
    <w:rsid w:val="000B466E"/>
    <w:rsid w:val="000B782D"/>
    <w:rsid w:val="000C2892"/>
    <w:rsid w:val="000C3281"/>
    <w:rsid w:val="000C7174"/>
    <w:rsid w:val="000D08B9"/>
    <w:rsid w:val="000D092A"/>
    <w:rsid w:val="000D34AF"/>
    <w:rsid w:val="000D42E9"/>
    <w:rsid w:val="000D58BE"/>
    <w:rsid w:val="000D705B"/>
    <w:rsid w:val="000E1D92"/>
    <w:rsid w:val="000E36C6"/>
    <w:rsid w:val="000E3C97"/>
    <w:rsid w:val="000E4006"/>
    <w:rsid w:val="000F010A"/>
    <w:rsid w:val="000F26B2"/>
    <w:rsid w:val="000F583C"/>
    <w:rsid w:val="000F7424"/>
    <w:rsid w:val="0010151C"/>
    <w:rsid w:val="00103794"/>
    <w:rsid w:val="0010739D"/>
    <w:rsid w:val="00107E67"/>
    <w:rsid w:val="00112B75"/>
    <w:rsid w:val="00123B3E"/>
    <w:rsid w:val="00126CEB"/>
    <w:rsid w:val="00132618"/>
    <w:rsid w:val="0013738D"/>
    <w:rsid w:val="00140406"/>
    <w:rsid w:val="001477E8"/>
    <w:rsid w:val="001541EF"/>
    <w:rsid w:val="00154DEB"/>
    <w:rsid w:val="00156198"/>
    <w:rsid w:val="00156781"/>
    <w:rsid w:val="001653E3"/>
    <w:rsid w:val="00174761"/>
    <w:rsid w:val="00176C31"/>
    <w:rsid w:val="00181455"/>
    <w:rsid w:val="00183424"/>
    <w:rsid w:val="0018546A"/>
    <w:rsid w:val="001869B1"/>
    <w:rsid w:val="0019060F"/>
    <w:rsid w:val="001909D5"/>
    <w:rsid w:val="00191A20"/>
    <w:rsid w:val="00192C13"/>
    <w:rsid w:val="00192C7C"/>
    <w:rsid w:val="001960D2"/>
    <w:rsid w:val="00197131"/>
    <w:rsid w:val="00197766"/>
    <w:rsid w:val="001978C4"/>
    <w:rsid w:val="001A1146"/>
    <w:rsid w:val="001A14CC"/>
    <w:rsid w:val="001A4353"/>
    <w:rsid w:val="001A7207"/>
    <w:rsid w:val="001B0474"/>
    <w:rsid w:val="001B3A4F"/>
    <w:rsid w:val="001B5E47"/>
    <w:rsid w:val="001B6437"/>
    <w:rsid w:val="001C3074"/>
    <w:rsid w:val="001C40DF"/>
    <w:rsid w:val="001C4232"/>
    <w:rsid w:val="001C627A"/>
    <w:rsid w:val="001C7D98"/>
    <w:rsid w:val="001D07AD"/>
    <w:rsid w:val="001D10F1"/>
    <w:rsid w:val="001D11D4"/>
    <w:rsid w:val="001D1E0D"/>
    <w:rsid w:val="001D2115"/>
    <w:rsid w:val="001D4DFF"/>
    <w:rsid w:val="001D774B"/>
    <w:rsid w:val="001E080D"/>
    <w:rsid w:val="001E5743"/>
    <w:rsid w:val="001F4C76"/>
    <w:rsid w:val="00206040"/>
    <w:rsid w:val="00207886"/>
    <w:rsid w:val="0021211E"/>
    <w:rsid w:val="002125A2"/>
    <w:rsid w:val="002173F5"/>
    <w:rsid w:val="0022276D"/>
    <w:rsid w:val="00223A36"/>
    <w:rsid w:val="00225199"/>
    <w:rsid w:val="00225675"/>
    <w:rsid w:val="00225BC4"/>
    <w:rsid w:val="00225DD7"/>
    <w:rsid w:val="0023002F"/>
    <w:rsid w:val="002304A7"/>
    <w:rsid w:val="00230D74"/>
    <w:rsid w:val="00234948"/>
    <w:rsid w:val="00241631"/>
    <w:rsid w:val="00242C83"/>
    <w:rsid w:val="00245735"/>
    <w:rsid w:val="00252431"/>
    <w:rsid w:val="00254266"/>
    <w:rsid w:val="002551CC"/>
    <w:rsid w:val="00260999"/>
    <w:rsid w:val="00260CEF"/>
    <w:rsid w:val="00260F81"/>
    <w:rsid w:val="00263521"/>
    <w:rsid w:val="00263F93"/>
    <w:rsid w:val="002743DB"/>
    <w:rsid w:val="00274926"/>
    <w:rsid w:val="0027594D"/>
    <w:rsid w:val="0027673F"/>
    <w:rsid w:val="0028377A"/>
    <w:rsid w:val="00283B93"/>
    <w:rsid w:val="0029153F"/>
    <w:rsid w:val="00291A8C"/>
    <w:rsid w:val="00296EB3"/>
    <w:rsid w:val="0029757A"/>
    <w:rsid w:val="002A2478"/>
    <w:rsid w:val="002A2BC1"/>
    <w:rsid w:val="002A37AD"/>
    <w:rsid w:val="002A42C2"/>
    <w:rsid w:val="002A443B"/>
    <w:rsid w:val="002A45E6"/>
    <w:rsid w:val="002A48FF"/>
    <w:rsid w:val="002A4B44"/>
    <w:rsid w:val="002A668D"/>
    <w:rsid w:val="002B5F64"/>
    <w:rsid w:val="002B72AC"/>
    <w:rsid w:val="002C3CB6"/>
    <w:rsid w:val="002C4B05"/>
    <w:rsid w:val="002C66AF"/>
    <w:rsid w:val="002D34F6"/>
    <w:rsid w:val="002D3B02"/>
    <w:rsid w:val="002D52EE"/>
    <w:rsid w:val="002D5E39"/>
    <w:rsid w:val="002D7AE0"/>
    <w:rsid w:val="002E20C6"/>
    <w:rsid w:val="002E45A1"/>
    <w:rsid w:val="002E4C1E"/>
    <w:rsid w:val="002F0F90"/>
    <w:rsid w:val="002F139A"/>
    <w:rsid w:val="002F15DA"/>
    <w:rsid w:val="002F5DB2"/>
    <w:rsid w:val="002F66DB"/>
    <w:rsid w:val="00302BB1"/>
    <w:rsid w:val="00302DD4"/>
    <w:rsid w:val="0030325B"/>
    <w:rsid w:val="003034CF"/>
    <w:rsid w:val="00304D74"/>
    <w:rsid w:val="00305527"/>
    <w:rsid w:val="00305AE7"/>
    <w:rsid w:val="00310560"/>
    <w:rsid w:val="00310633"/>
    <w:rsid w:val="0031100A"/>
    <w:rsid w:val="003154FC"/>
    <w:rsid w:val="0031580A"/>
    <w:rsid w:val="00315977"/>
    <w:rsid w:val="00324ECA"/>
    <w:rsid w:val="00326037"/>
    <w:rsid w:val="00326107"/>
    <w:rsid w:val="003308C8"/>
    <w:rsid w:val="00330C30"/>
    <w:rsid w:val="00331709"/>
    <w:rsid w:val="00332106"/>
    <w:rsid w:val="0033401A"/>
    <w:rsid w:val="00334E1A"/>
    <w:rsid w:val="00336DDB"/>
    <w:rsid w:val="00337787"/>
    <w:rsid w:val="00341A70"/>
    <w:rsid w:val="00341D7E"/>
    <w:rsid w:val="00345A94"/>
    <w:rsid w:val="00345C67"/>
    <w:rsid w:val="0034642E"/>
    <w:rsid w:val="003468D1"/>
    <w:rsid w:val="00351FE4"/>
    <w:rsid w:val="00353698"/>
    <w:rsid w:val="00353E77"/>
    <w:rsid w:val="00355232"/>
    <w:rsid w:val="00355441"/>
    <w:rsid w:val="00357ED5"/>
    <w:rsid w:val="00361185"/>
    <w:rsid w:val="00363487"/>
    <w:rsid w:val="003639FD"/>
    <w:rsid w:val="00363D50"/>
    <w:rsid w:val="003674C9"/>
    <w:rsid w:val="003707AF"/>
    <w:rsid w:val="003718E0"/>
    <w:rsid w:val="00372766"/>
    <w:rsid w:val="003727C2"/>
    <w:rsid w:val="003749A9"/>
    <w:rsid w:val="00380675"/>
    <w:rsid w:val="003812B1"/>
    <w:rsid w:val="003835B4"/>
    <w:rsid w:val="003853A7"/>
    <w:rsid w:val="00385D64"/>
    <w:rsid w:val="00392373"/>
    <w:rsid w:val="00393974"/>
    <w:rsid w:val="003947A9"/>
    <w:rsid w:val="003A0418"/>
    <w:rsid w:val="003A19B8"/>
    <w:rsid w:val="003A3237"/>
    <w:rsid w:val="003B15AC"/>
    <w:rsid w:val="003B2149"/>
    <w:rsid w:val="003B2C07"/>
    <w:rsid w:val="003C06AC"/>
    <w:rsid w:val="003C0CB0"/>
    <w:rsid w:val="003C2688"/>
    <w:rsid w:val="003C5A22"/>
    <w:rsid w:val="003D3958"/>
    <w:rsid w:val="003D6205"/>
    <w:rsid w:val="003E0F1B"/>
    <w:rsid w:val="003E1C46"/>
    <w:rsid w:val="003E3A3F"/>
    <w:rsid w:val="003F0122"/>
    <w:rsid w:val="003F1AA1"/>
    <w:rsid w:val="003F5D8C"/>
    <w:rsid w:val="003F64F5"/>
    <w:rsid w:val="003F7752"/>
    <w:rsid w:val="0040096D"/>
    <w:rsid w:val="0040585A"/>
    <w:rsid w:val="00415578"/>
    <w:rsid w:val="00421DA5"/>
    <w:rsid w:val="004305B5"/>
    <w:rsid w:val="0043629A"/>
    <w:rsid w:val="00437354"/>
    <w:rsid w:val="0044180E"/>
    <w:rsid w:val="004434E0"/>
    <w:rsid w:val="00444C37"/>
    <w:rsid w:val="00446665"/>
    <w:rsid w:val="0044781E"/>
    <w:rsid w:val="00450F89"/>
    <w:rsid w:val="00453F1D"/>
    <w:rsid w:val="004542AC"/>
    <w:rsid w:val="00456478"/>
    <w:rsid w:val="00460547"/>
    <w:rsid w:val="00461BE4"/>
    <w:rsid w:val="00470DA4"/>
    <w:rsid w:val="00472326"/>
    <w:rsid w:val="00472D12"/>
    <w:rsid w:val="00473CC9"/>
    <w:rsid w:val="004741D7"/>
    <w:rsid w:val="00475EE9"/>
    <w:rsid w:val="00476434"/>
    <w:rsid w:val="00476568"/>
    <w:rsid w:val="00482B9E"/>
    <w:rsid w:val="004837B4"/>
    <w:rsid w:val="00484AB9"/>
    <w:rsid w:val="00485966"/>
    <w:rsid w:val="00494C05"/>
    <w:rsid w:val="004A7370"/>
    <w:rsid w:val="004B2E39"/>
    <w:rsid w:val="004B4CC6"/>
    <w:rsid w:val="004B75E3"/>
    <w:rsid w:val="004B7C82"/>
    <w:rsid w:val="004C2F9C"/>
    <w:rsid w:val="004C39EE"/>
    <w:rsid w:val="004C6267"/>
    <w:rsid w:val="004D04B6"/>
    <w:rsid w:val="004D0E67"/>
    <w:rsid w:val="004D1030"/>
    <w:rsid w:val="004D159E"/>
    <w:rsid w:val="004D2816"/>
    <w:rsid w:val="004D2BB1"/>
    <w:rsid w:val="004D30D3"/>
    <w:rsid w:val="004D4E27"/>
    <w:rsid w:val="004E11B0"/>
    <w:rsid w:val="004E476B"/>
    <w:rsid w:val="004E4954"/>
    <w:rsid w:val="004E68E8"/>
    <w:rsid w:val="004E6F81"/>
    <w:rsid w:val="004F00B2"/>
    <w:rsid w:val="004F0E41"/>
    <w:rsid w:val="004F4CD6"/>
    <w:rsid w:val="004F759F"/>
    <w:rsid w:val="00503137"/>
    <w:rsid w:val="00504398"/>
    <w:rsid w:val="005069C9"/>
    <w:rsid w:val="00507CBA"/>
    <w:rsid w:val="005108A9"/>
    <w:rsid w:val="0051109A"/>
    <w:rsid w:val="00515174"/>
    <w:rsid w:val="00520F28"/>
    <w:rsid w:val="00521543"/>
    <w:rsid w:val="005217DA"/>
    <w:rsid w:val="0052434C"/>
    <w:rsid w:val="00527E0C"/>
    <w:rsid w:val="005301ED"/>
    <w:rsid w:val="00530C3F"/>
    <w:rsid w:val="00533631"/>
    <w:rsid w:val="0053415B"/>
    <w:rsid w:val="00542A9C"/>
    <w:rsid w:val="00542DB7"/>
    <w:rsid w:val="00544845"/>
    <w:rsid w:val="005457CE"/>
    <w:rsid w:val="005516D8"/>
    <w:rsid w:val="005521F4"/>
    <w:rsid w:val="00553075"/>
    <w:rsid w:val="00554ED9"/>
    <w:rsid w:val="00560358"/>
    <w:rsid w:val="00561CB6"/>
    <w:rsid w:val="00563EAB"/>
    <w:rsid w:val="00564C3E"/>
    <w:rsid w:val="00564C70"/>
    <w:rsid w:val="00573050"/>
    <w:rsid w:val="00573CE6"/>
    <w:rsid w:val="005765DC"/>
    <w:rsid w:val="00576F1C"/>
    <w:rsid w:val="00577460"/>
    <w:rsid w:val="005777D1"/>
    <w:rsid w:val="0058129C"/>
    <w:rsid w:val="00583524"/>
    <w:rsid w:val="00586570"/>
    <w:rsid w:val="00587B9B"/>
    <w:rsid w:val="005948B7"/>
    <w:rsid w:val="005A028A"/>
    <w:rsid w:val="005A234B"/>
    <w:rsid w:val="005A4437"/>
    <w:rsid w:val="005A5A38"/>
    <w:rsid w:val="005B295D"/>
    <w:rsid w:val="005B4CA4"/>
    <w:rsid w:val="005B5301"/>
    <w:rsid w:val="005B78D1"/>
    <w:rsid w:val="005C4B8E"/>
    <w:rsid w:val="005D0FAC"/>
    <w:rsid w:val="005D13BF"/>
    <w:rsid w:val="005D1D7B"/>
    <w:rsid w:val="005D2598"/>
    <w:rsid w:val="005D2C31"/>
    <w:rsid w:val="005D76AE"/>
    <w:rsid w:val="005D7B09"/>
    <w:rsid w:val="005D7EE9"/>
    <w:rsid w:val="005E0541"/>
    <w:rsid w:val="005E1359"/>
    <w:rsid w:val="005E170C"/>
    <w:rsid w:val="005E5212"/>
    <w:rsid w:val="005E706C"/>
    <w:rsid w:val="005F1C6E"/>
    <w:rsid w:val="00600F98"/>
    <w:rsid w:val="00601540"/>
    <w:rsid w:val="006032AD"/>
    <w:rsid w:val="00613085"/>
    <w:rsid w:val="00613CD3"/>
    <w:rsid w:val="00613FE6"/>
    <w:rsid w:val="00614BF8"/>
    <w:rsid w:val="006178A5"/>
    <w:rsid w:val="00621726"/>
    <w:rsid w:val="00622058"/>
    <w:rsid w:val="00631BA9"/>
    <w:rsid w:val="0063337D"/>
    <w:rsid w:val="00635482"/>
    <w:rsid w:val="0063574C"/>
    <w:rsid w:val="0064189D"/>
    <w:rsid w:val="00641A60"/>
    <w:rsid w:val="00641B39"/>
    <w:rsid w:val="00644CD2"/>
    <w:rsid w:val="006451DC"/>
    <w:rsid w:val="006532C5"/>
    <w:rsid w:val="00654056"/>
    <w:rsid w:val="006556FB"/>
    <w:rsid w:val="006567ED"/>
    <w:rsid w:val="00656999"/>
    <w:rsid w:val="00664E68"/>
    <w:rsid w:val="00666420"/>
    <w:rsid w:val="00667A6D"/>
    <w:rsid w:val="0067553A"/>
    <w:rsid w:val="00677952"/>
    <w:rsid w:val="00677F9F"/>
    <w:rsid w:val="00680564"/>
    <w:rsid w:val="00682024"/>
    <w:rsid w:val="00686270"/>
    <w:rsid w:val="00687D28"/>
    <w:rsid w:val="00690742"/>
    <w:rsid w:val="00690D09"/>
    <w:rsid w:val="0069799F"/>
    <w:rsid w:val="00697AC3"/>
    <w:rsid w:val="006A20FC"/>
    <w:rsid w:val="006A5D21"/>
    <w:rsid w:val="006A7496"/>
    <w:rsid w:val="006A749A"/>
    <w:rsid w:val="006A7FDE"/>
    <w:rsid w:val="006B7F76"/>
    <w:rsid w:val="006C4DF5"/>
    <w:rsid w:val="006C7F2F"/>
    <w:rsid w:val="006D00FB"/>
    <w:rsid w:val="006D07E8"/>
    <w:rsid w:val="006D0998"/>
    <w:rsid w:val="006D2180"/>
    <w:rsid w:val="006D2A88"/>
    <w:rsid w:val="006D42AE"/>
    <w:rsid w:val="006D7FA5"/>
    <w:rsid w:val="006E02EF"/>
    <w:rsid w:val="006E21A5"/>
    <w:rsid w:val="006E3445"/>
    <w:rsid w:val="006E3F7F"/>
    <w:rsid w:val="006F0FF8"/>
    <w:rsid w:val="006F2BED"/>
    <w:rsid w:val="006F5995"/>
    <w:rsid w:val="006F5A3E"/>
    <w:rsid w:val="006F5B6A"/>
    <w:rsid w:val="006F664A"/>
    <w:rsid w:val="007026A7"/>
    <w:rsid w:val="0070314A"/>
    <w:rsid w:val="007033E7"/>
    <w:rsid w:val="007036AC"/>
    <w:rsid w:val="0070507F"/>
    <w:rsid w:val="007055E5"/>
    <w:rsid w:val="007058AE"/>
    <w:rsid w:val="00715ED1"/>
    <w:rsid w:val="00715F89"/>
    <w:rsid w:val="00716E59"/>
    <w:rsid w:val="0072314B"/>
    <w:rsid w:val="0072420A"/>
    <w:rsid w:val="0072636C"/>
    <w:rsid w:val="00726D58"/>
    <w:rsid w:val="00741130"/>
    <w:rsid w:val="00745E28"/>
    <w:rsid w:val="00746079"/>
    <w:rsid w:val="00746BEA"/>
    <w:rsid w:val="00746D2F"/>
    <w:rsid w:val="00747403"/>
    <w:rsid w:val="00747D82"/>
    <w:rsid w:val="00755990"/>
    <w:rsid w:val="00755F4B"/>
    <w:rsid w:val="00756867"/>
    <w:rsid w:val="00757B59"/>
    <w:rsid w:val="00757BB5"/>
    <w:rsid w:val="00762664"/>
    <w:rsid w:val="00764705"/>
    <w:rsid w:val="00765278"/>
    <w:rsid w:val="007654C6"/>
    <w:rsid w:val="00765D29"/>
    <w:rsid w:val="0076636C"/>
    <w:rsid w:val="00771D4A"/>
    <w:rsid w:val="007758EA"/>
    <w:rsid w:val="00777874"/>
    <w:rsid w:val="00777DC0"/>
    <w:rsid w:val="007807A7"/>
    <w:rsid w:val="00783E0A"/>
    <w:rsid w:val="00784A41"/>
    <w:rsid w:val="00784AEF"/>
    <w:rsid w:val="00785070"/>
    <w:rsid w:val="007856EB"/>
    <w:rsid w:val="00792216"/>
    <w:rsid w:val="007A01E2"/>
    <w:rsid w:val="007A3CF4"/>
    <w:rsid w:val="007A4FEB"/>
    <w:rsid w:val="007A62A9"/>
    <w:rsid w:val="007A6E3B"/>
    <w:rsid w:val="007B0D91"/>
    <w:rsid w:val="007B1817"/>
    <w:rsid w:val="007B3BA7"/>
    <w:rsid w:val="007B543A"/>
    <w:rsid w:val="007B7D78"/>
    <w:rsid w:val="007C0589"/>
    <w:rsid w:val="007C1866"/>
    <w:rsid w:val="007C1AF0"/>
    <w:rsid w:val="007C2DA3"/>
    <w:rsid w:val="007C2F97"/>
    <w:rsid w:val="007C3FD3"/>
    <w:rsid w:val="007C50EA"/>
    <w:rsid w:val="007C7EA7"/>
    <w:rsid w:val="007D2BB9"/>
    <w:rsid w:val="007D633D"/>
    <w:rsid w:val="007D67A6"/>
    <w:rsid w:val="007E2335"/>
    <w:rsid w:val="007E7057"/>
    <w:rsid w:val="007E72DD"/>
    <w:rsid w:val="007F1157"/>
    <w:rsid w:val="007F15AF"/>
    <w:rsid w:val="007F5C81"/>
    <w:rsid w:val="007F7341"/>
    <w:rsid w:val="0080048E"/>
    <w:rsid w:val="00801667"/>
    <w:rsid w:val="00804950"/>
    <w:rsid w:val="00805BDB"/>
    <w:rsid w:val="00806A46"/>
    <w:rsid w:val="00811D4C"/>
    <w:rsid w:val="00812E42"/>
    <w:rsid w:val="00813DFC"/>
    <w:rsid w:val="00816DC6"/>
    <w:rsid w:val="00816E29"/>
    <w:rsid w:val="00821BF7"/>
    <w:rsid w:val="00821C12"/>
    <w:rsid w:val="00822177"/>
    <w:rsid w:val="00824B11"/>
    <w:rsid w:val="0082657D"/>
    <w:rsid w:val="00826A2C"/>
    <w:rsid w:val="00826A35"/>
    <w:rsid w:val="008314C2"/>
    <w:rsid w:val="00831D96"/>
    <w:rsid w:val="00834E8B"/>
    <w:rsid w:val="00835955"/>
    <w:rsid w:val="008414A0"/>
    <w:rsid w:val="0084187B"/>
    <w:rsid w:val="00841D96"/>
    <w:rsid w:val="00842DAF"/>
    <w:rsid w:val="00843250"/>
    <w:rsid w:val="00846477"/>
    <w:rsid w:val="008603B0"/>
    <w:rsid w:val="00865A36"/>
    <w:rsid w:val="0086697C"/>
    <w:rsid w:val="00866ADB"/>
    <w:rsid w:val="00867DF6"/>
    <w:rsid w:val="00870A46"/>
    <w:rsid w:val="00872375"/>
    <w:rsid w:val="0087408E"/>
    <w:rsid w:val="008747EE"/>
    <w:rsid w:val="0088170F"/>
    <w:rsid w:val="00882ED0"/>
    <w:rsid w:val="00884FB7"/>
    <w:rsid w:val="008906B6"/>
    <w:rsid w:val="00891438"/>
    <w:rsid w:val="00891DAB"/>
    <w:rsid w:val="0089251C"/>
    <w:rsid w:val="00893690"/>
    <w:rsid w:val="00894B2E"/>
    <w:rsid w:val="0089621F"/>
    <w:rsid w:val="008A0C5A"/>
    <w:rsid w:val="008A1680"/>
    <w:rsid w:val="008A374F"/>
    <w:rsid w:val="008A3C86"/>
    <w:rsid w:val="008A4621"/>
    <w:rsid w:val="008B0388"/>
    <w:rsid w:val="008B28A4"/>
    <w:rsid w:val="008B59E0"/>
    <w:rsid w:val="008B6D1B"/>
    <w:rsid w:val="008B74BA"/>
    <w:rsid w:val="008B7C21"/>
    <w:rsid w:val="008C15AC"/>
    <w:rsid w:val="008C40E8"/>
    <w:rsid w:val="008C5EB9"/>
    <w:rsid w:val="008D1687"/>
    <w:rsid w:val="008D1873"/>
    <w:rsid w:val="008D3D00"/>
    <w:rsid w:val="008D5109"/>
    <w:rsid w:val="008D6790"/>
    <w:rsid w:val="008E05F7"/>
    <w:rsid w:val="008E23F9"/>
    <w:rsid w:val="008E4436"/>
    <w:rsid w:val="008E78CE"/>
    <w:rsid w:val="008F00E8"/>
    <w:rsid w:val="008F38A8"/>
    <w:rsid w:val="008F539E"/>
    <w:rsid w:val="008F54AA"/>
    <w:rsid w:val="008F7826"/>
    <w:rsid w:val="00900882"/>
    <w:rsid w:val="0090242F"/>
    <w:rsid w:val="009033E5"/>
    <w:rsid w:val="00903AB6"/>
    <w:rsid w:val="00903AC6"/>
    <w:rsid w:val="009067F0"/>
    <w:rsid w:val="00907775"/>
    <w:rsid w:val="0091277A"/>
    <w:rsid w:val="00912F3F"/>
    <w:rsid w:val="00921449"/>
    <w:rsid w:val="0092341C"/>
    <w:rsid w:val="00923E1B"/>
    <w:rsid w:val="009248DF"/>
    <w:rsid w:val="009253BF"/>
    <w:rsid w:val="00930B1E"/>
    <w:rsid w:val="00936B8B"/>
    <w:rsid w:val="00941F6C"/>
    <w:rsid w:val="00944436"/>
    <w:rsid w:val="00944AD9"/>
    <w:rsid w:val="00947354"/>
    <w:rsid w:val="00947C50"/>
    <w:rsid w:val="00953A9C"/>
    <w:rsid w:val="009541FD"/>
    <w:rsid w:val="00954C05"/>
    <w:rsid w:val="0095605B"/>
    <w:rsid w:val="0095650A"/>
    <w:rsid w:val="00956913"/>
    <w:rsid w:val="0096049A"/>
    <w:rsid w:val="00964E13"/>
    <w:rsid w:val="00967CE7"/>
    <w:rsid w:val="00970060"/>
    <w:rsid w:val="00971873"/>
    <w:rsid w:val="00973A25"/>
    <w:rsid w:val="009754FC"/>
    <w:rsid w:val="00984E82"/>
    <w:rsid w:val="00985E8A"/>
    <w:rsid w:val="00987ECF"/>
    <w:rsid w:val="00990B80"/>
    <w:rsid w:val="00992A5B"/>
    <w:rsid w:val="00996751"/>
    <w:rsid w:val="00996D34"/>
    <w:rsid w:val="0099714C"/>
    <w:rsid w:val="009A1502"/>
    <w:rsid w:val="009A3A53"/>
    <w:rsid w:val="009A3C9B"/>
    <w:rsid w:val="009A7587"/>
    <w:rsid w:val="009B371E"/>
    <w:rsid w:val="009B419F"/>
    <w:rsid w:val="009B6358"/>
    <w:rsid w:val="009C001B"/>
    <w:rsid w:val="009C3285"/>
    <w:rsid w:val="009C64B8"/>
    <w:rsid w:val="009D168F"/>
    <w:rsid w:val="009D22C3"/>
    <w:rsid w:val="009D30A1"/>
    <w:rsid w:val="009D4F9B"/>
    <w:rsid w:val="009D500B"/>
    <w:rsid w:val="009D53FE"/>
    <w:rsid w:val="009D55F4"/>
    <w:rsid w:val="009D5E82"/>
    <w:rsid w:val="009E03BB"/>
    <w:rsid w:val="009E293E"/>
    <w:rsid w:val="009E3B42"/>
    <w:rsid w:val="009E4396"/>
    <w:rsid w:val="009E4662"/>
    <w:rsid w:val="009E53EC"/>
    <w:rsid w:val="009E70B7"/>
    <w:rsid w:val="009F3782"/>
    <w:rsid w:val="009F4D94"/>
    <w:rsid w:val="009F52E7"/>
    <w:rsid w:val="009F6856"/>
    <w:rsid w:val="00A00DCD"/>
    <w:rsid w:val="00A038A9"/>
    <w:rsid w:val="00A03E28"/>
    <w:rsid w:val="00A04026"/>
    <w:rsid w:val="00A042F4"/>
    <w:rsid w:val="00A04E16"/>
    <w:rsid w:val="00A051F6"/>
    <w:rsid w:val="00A05B75"/>
    <w:rsid w:val="00A07A9B"/>
    <w:rsid w:val="00A108EA"/>
    <w:rsid w:val="00A116E2"/>
    <w:rsid w:val="00A130D1"/>
    <w:rsid w:val="00A140F6"/>
    <w:rsid w:val="00A15E9D"/>
    <w:rsid w:val="00A2003A"/>
    <w:rsid w:val="00A209BF"/>
    <w:rsid w:val="00A24B21"/>
    <w:rsid w:val="00A320E7"/>
    <w:rsid w:val="00A3735C"/>
    <w:rsid w:val="00A41FAD"/>
    <w:rsid w:val="00A4655E"/>
    <w:rsid w:val="00A511F2"/>
    <w:rsid w:val="00A55C50"/>
    <w:rsid w:val="00A56A6F"/>
    <w:rsid w:val="00A628E7"/>
    <w:rsid w:val="00A64B67"/>
    <w:rsid w:val="00A654F5"/>
    <w:rsid w:val="00A7099D"/>
    <w:rsid w:val="00A7115F"/>
    <w:rsid w:val="00A714B9"/>
    <w:rsid w:val="00A7178A"/>
    <w:rsid w:val="00A71FB4"/>
    <w:rsid w:val="00A72B7E"/>
    <w:rsid w:val="00A74185"/>
    <w:rsid w:val="00A745CE"/>
    <w:rsid w:val="00A7461D"/>
    <w:rsid w:val="00A74702"/>
    <w:rsid w:val="00A80397"/>
    <w:rsid w:val="00A8334B"/>
    <w:rsid w:val="00A841C1"/>
    <w:rsid w:val="00A86D0E"/>
    <w:rsid w:val="00A9058D"/>
    <w:rsid w:val="00A92974"/>
    <w:rsid w:val="00A97499"/>
    <w:rsid w:val="00A97D41"/>
    <w:rsid w:val="00AA320A"/>
    <w:rsid w:val="00AA619E"/>
    <w:rsid w:val="00AA7B4E"/>
    <w:rsid w:val="00AA7C06"/>
    <w:rsid w:val="00AB0552"/>
    <w:rsid w:val="00AB4A07"/>
    <w:rsid w:val="00AB5BD2"/>
    <w:rsid w:val="00AB5D67"/>
    <w:rsid w:val="00AB6FBA"/>
    <w:rsid w:val="00AB7014"/>
    <w:rsid w:val="00AC0BE8"/>
    <w:rsid w:val="00AD08F0"/>
    <w:rsid w:val="00AD4A4B"/>
    <w:rsid w:val="00AD6B52"/>
    <w:rsid w:val="00AD7972"/>
    <w:rsid w:val="00AD7CF2"/>
    <w:rsid w:val="00AE3A45"/>
    <w:rsid w:val="00AE4E1F"/>
    <w:rsid w:val="00AF292E"/>
    <w:rsid w:val="00B00063"/>
    <w:rsid w:val="00B10226"/>
    <w:rsid w:val="00B106FA"/>
    <w:rsid w:val="00B11092"/>
    <w:rsid w:val="00B11DD2"/>
    <w:rsid w:val="00B12564"/>
    <w:rsid w:val="00B128B9"/>
    <w:rsid w:val="00B16959"/>
    <w:rsid w:val="00B176E5"/>
    <w:rsid w:val="00B17AB9"/>
    <w:rsid w:val="00B20C1C"/>
    <w:rsid w:val="00B22B27"/>
    <w:rsid w:val="00B25C81"/>
    <w:rsid w:val="00B26FDF"/>
    <w:rsid w:val="00B30859"/>
    <w:rsid w:val="00B310A5"/>
    <w:rsid w:val="00B32ADB"/>
    <w:rsid w:val="00B35C4B"/>
    <w:rsid w:val="00B36ACB"/>
    <w:rsid w:val="00B422E1"/>
    <w:rsid w:val="00B42CD9"/>
    <w:rsid w:val="00B44235"/>
    <w:rsid w:val="00B462AC"/>
    <w:rsid w:val="00B537FF"/>
    <w:rsid w:val="00B626A3"/>
    <w:rsid w:val="00B64B7F"/>
    <w:rsid w:val="00B65BAB"/>
    <w:rsid w:val="00B71410"/>
    <w:rsid w:val="00B72324"/>
    <w:rsid w:val="00B72C31"/>
    <w:rsid w:val="00B731E3"/>
    <w:rsid w:val="00B73545"/>
    <w:rsid w:val="00B73867"/>
    <w:rsid w:val="00B772C8"/>
    <w:rsid w:val="00B85B81"/>
    <w:rsid w:val="00B903F3"/>
    <w:rsid w:val="00B91B5A"/>
    <w:rsid w:val="00B94A50"/>
    <w:rsid w:val="00B94D8A"/>
    <w:rsid w:val="00B95364"/>
    <w:rsid w:val="00B958A3"/>
    <w:rsid w:val="00B975C4"/>
    <w:rsid w:val="00BA0561"/>
    <w:rsid w:val="00BA0587"/>
    <w:rsid w:val="00BA6CA8"/>
    <w:rsid w:val="00BA6F0F"/>
    <w:rsid w:val="00BA6F77"/>
    <w:rsid w:val="00BA7242"/>
    <w:rsid w:val="00BB49C9"/>
    <w:rsid w:val="00BB6B1E"/>
    <w:rsid w:val="00BB7198"/>
    <w:rsid w:val="00BC0645"/>
    <w:rsid w:val="00BC072D"/>
    <w:rsid w:val="00BC4534"/>
    <w:rsid w:val="00BC5129"/>
    <w:rsid w:val="00BC5654"/>
    <w:rsid w:val="00BC6FEA"/>
    <w:rsid w:val="00BD226D"/>
    <w:rsid w:val="00BD4E5D"/>
    <w:rsid w:val="00BD6CDD"/>
    <w:rsid w:val="00BE05E0"/>
    <w:rsid w:val="00BE2D39"/>
    <w:rsid w:val="00BE2E69"/>
    <w:rsid w:val="00BE445B"/>
    <w:rsid w:val="00BE4633"/>
    <w:rsid w:val="00BE4718"/>
    <w:rsid w:val="00BE48E8"/>
    <w:rsid w:val="00BF0427"/>
    <w:rsid w:val="00BF3144"/>
    <w:rsid w:val="00BF7681"/>
    <w:rsid w:val="00C03240"/>
    <w:rsid w:val="00C03F87"/>
    <w:rsid w:val="00C04046"/>
    <w:rsid w:val="00C05301"/>
    <w:rsid w:val="00C06D6D"/>
    <w:rsid w:val="00C0713F"/>
    <w:rsid w:val="00C117C6"/>
    <w:rsid w:val="00C13129"/>
    <w:rsid w:val="00C145FE"/>
    <w:rsid w:val="00C154AF"/>
    <w:rsid w:val="00C21147"/>
    <w:rsid w:val="00C224FA"/>
    <w:rsid w:val="00C2379C"/>
    <w:rsid w:val="00C2474A"/>
    <w:rsid w:val="00C27585"/>
    <w:rsid w:val="00C31491"/>
    <w:rsid w:val="00C32979"/>
    <w:rsid w:val="00C4067A"/>
    <w:rsid w:val="00C424D2"/>
    <w:rsid w:val="00C43253"/>
    <w:rsid w:val="00C4430D"/>
    <w:rsid w:val="00C5122D"/>
    <w:rsid w:val="00C533CA"/>
    <w:rsid w:val="00C54BE0"/>
    <w:rsid w:val="00C634E2"/>
    <w:rsid w:val="00C6404A"/>
    <w:rsid w:val="00C64457"/>
    <w:rsid w:val="00C652C9"/>
    <w:rsid w:val="00C659F5"/>
    <w:rsid w:val="00C67288"/>
    <w:rsid w:val="00C67CCF"/>
    <w:rsid w:val="00C72B62"/>
    <w:rsid w:val="00C751EE"/>
    <w:rsid w:val="00C75822"/>
    <w:rsid w:val="00C758C1"/>
    <w:rsid w:val="00C77BE5"/>
    <w:rsid w:val="00C80064"/>
    <w:rsid w:val="00C8012E"/>
    <w:rsid w:val="00C90E69"/>
    <w:rsid w:val="00C92EA9"/>
    <w:rsid w:val="00C93F9D"/>
    <w:rsid w:val="00C9436C"/>
    <w:rsid w:val="00C96602"/>
    <w:rsid w:val="00CA0822"/>
    <w:rsid w:val="00CA0D08"/>
    <w:rsid w:val="00CA4354"/>
    <w:rsid w:val="00CA4827"/>
    <w:rsid w:val="00CA5688"/>
    <w:rsid w:val="00CA56D1"/>
    <w:rsid w:val="00CB0E7D"/>
    <w:rsid w:val="00CB1499"/>
    <w:rsid w:val="00CB3185"/>
    <w:rsid w:val="00CC294F"/>
    <w:rsid w:val="00CC5B08"/>
    <w:rsid w:val="00CC609B"/>
    <w:rsid w:val="00CC654A"/>
    <w:rsid w:val="00CD0717"/>
    <w:rsid w:val="00CD427A"/>
    <w:rsid w:val="00CD75CC"/>
    <w:rsid w:val="00CE6915"/>
    <w:rsid w:val="00CF15FF"/>
    <w:rsid w:val="00CF5CB4"/>
    <w:rsid w:val="00CF754E"/>
    <w:rsid w:val="00D02316"/>
    <w:rsid w:val="00D02458"/>
    <w:rsid w:val="00D02687"/>
    <w:rsid w:val="00D02A69"/>
    <w:rsid w:val="00D060E9"/>
    <w:rsid w:val="00D129C3"/>
    <w:rsid w:val="00D1309F"/>
    <w:rsid w:val="00D16238"/>
    <w:rsid w:val="00D17712"/>
    <w:rsid w:val="00D22017"/>
    <w:rsid w:val="00D22660"/>
    <w:rsid w:val="00D23753"/>
    <w:rsid w:val="00D25362"/>
    <w:rsid w:val="00D3226D"/>
    <w:rsid w:val="00D32BEF"/>
    <w:rsid w:val="00D32E11"/>
    <w:rsid w:val="00D33728"/>
    <w:rsid w:val="00D36091"/>
    <w:rsid w:val="00D3728C"/>
    <w:rsid w:val="00D41941"/>
    <w:rsid w:val="00D43186"/>
    <w:rsid w:val="00D46076"/>
    <w:rsid w:val="00D514C8"/>
    <w:rsid w:val="00D60016"/>
    <w:rsid w:val="00D619D2"/>
    <w:rsid w:val="00D62830"/>
    <w:rsid w:val="00D62935"/>
    <w:rsid w:val="00D67416"/>
    <w:rsid w:val="00D677D3"/>
    <w:rsid w:val="00D67E58"/>
    <w:rsid w:val="00D7006D"/>
    <w:rsid w:val="00D7014B"/>
    <w:rsid w:val="00D7038D"/>
    <w:rsid w:val="00D7076A"/>
    <w:rsid w:val="00D72209"/>
    <w:rsid w:val="00D725E0"/>
    <w:rsid w:val="00D73975"/>
    <w:rsid w:val="00D74D94"/>
    <w:rsid w:val="00D75D05"/>
    <w:rsid w:val="00D926C7"/>
    <w:rsid w:val="00D93DA5"/>
    <w:rsid w:val="00D944CF"/>
    <w:rsid w:val="00D946A3"/>
    <w:rsid w:val="00D97739"/>
    <w:rsid w:val="00DA0847"/>
    <w:rsid w:val="00DA7D58"/>
    <w:rsid w:val="00DB40D3"/>
    <w:rsid w:val="00DB4A57"/>
    <w:rsid w:val="00DB4A6D"/>
    <w:rsid w:val="00DC0ABC"/>
    <w:rsid w:val="00DC2DEC"/>
    <w:rsid w:val="00DC5BE6"/>
    <w:rsid w:val="00DC7AB3"/>
    <w:rsid w:val="00DD070B"/>
    <w:rsid w:val="00DD1BC2"/>
    <w:rsid w:val="00DD2045"/>
    <w:rsid w:val="00DD715A"/>
    <w:rsid w:val="00DD7DDB"/>
    <w:rsid w:val="00DE0462"/>
    <w:rsid w:val="00DE1BE5"/>
    <w:rsid w:val="00DE344C"/>
    <w:rsid w:val="00DE3575"/>
    <w:rsid w:val="00DE5A8C"/>
    <w:rsid w:val="00DF014D"/>
    <w:rsid w:val="00DF5C7C"/>
    <w:rsid w:val="00DF72E8"/>
    <w:rsid w:val="00E00EF6"/>
    <w:rsid w:val="00E03264"/>
    <w:rsid w:val="00E04A68"/>
    <w:rsid w:val="00E059AD"/>
    <w:rsid w:val="00E05B32"/>
    <w:rsid w:val="00E109F4"/>
    <w:rsid w:val="00E127D6"/>
    <w:rsid w:val="00E14AD4"/>
    <w:rsid w:val="00E169B6"/>
    <w:rsid w:val="00E1752A"/>
    <w:rsid w:val="00E2170C"/>
    <w:rsid w:val="00E261CA"/>
    <w:rsid w:val="00E31209"/>
    <w:rsid w:val="00E3208D"/>
    <w:rsid w:val="00E320C9"/>
    <w:rsid w:val="00E325AA"/>
    <w:rsid w:val="00E32F51"/>
    <w:rsid w:val="00E33C8F"/>
    <w:rsid w:val="00E35006"/>
    <w:rsid w:val="00E45787"/>
    <w:rsid w:val="00E5100B"/>
    <w:rsid w:val="00E5160C"/>
    <w:rsid w:val="00E51C0B"/>
    <w:rsid w:val="00E53710"/>
    <w:rsid w:val="00E53B9C"/>
    <w:rsid w:val="00E553F7"/>
    <w:rsid w:val="00E567A1"/>
    <w:rsid w:val="00E60A4F"/>
    <w:rsid w:val="00E60C79"/>
    <w:rsid w:val="00E65164"/>
    <w:rsid w:val="00E760ED"/>
    <w:rsid w:val="00E841EC"/>
    <w:rsid w:val="00E86CEB"/>
    <w:rsid w:val="00E876D5"/>
    <w:rsid w:val="00E877AE"/>
    <w:rsid w:val="00E90072"/>
    <w:rsid w:val="00E904F1"/>
    <w:rsid w:val="00E9060F"/>
    <w:rsid w:val="00E924BA"/>
    <w:rsid w:val="00E93803"/>
    <w:rsid w:val="00E949BC"/>
    <w:rsid w:val="00E94A17"/>
    <w:rsid w:val="00EA21FC"/>
    <w:rsid w:val="00EA2BE3"/>
    <w:rsid w:val="00EA4182"/>
    <w:rsid w:val="00EA4365"/>
    <w:rsid w:val="00EA56FB"/>
    <w:rsid w:val="00EA71AD"/>
    <w:rsid w:val="00EB62BC"/>
    <w:rsid w:val="00EC2B10"/>
    <w:rsid w:val="00EC2EFB"/>
    <w:rsid w:val="00ED2196"/>
    <w:rsid w:val="00ED295D"/>
    <w:rsid w:val="00ED725E"/>
    <w:rsid w:val="00EE3552"/>
    <w:rsid w:val="00EE5ADC"/>
    <w:rsid w:val="00EF5D4B"/>
    <w:rsid w:val="00EF6E86"/>
    <w:rsid w:val="00EF6EAE"/>
    <w:rsid w:val="00F02B50"/>
    <w:rsid w:val="00F03F2C"/>
    <w:rsid w:val="00F040DE"/>
    <w:rsid w:val="00F079F8"/>
    <w:rsid w:val="00F109FC"/>
    <w:rsid w:val="00F114B5"/>
    <w:rsid w:val="00F115DF"/>
    <w:rsid w:val="00F13A62"/>
    <w:rsid w:val="00F15189"/>
    <w:rsid w:val="00F15CE2"/>
    <w:rsid w:val="00F16199"/>
    <w:rsid w:val="00F17036"/>
    <w:rsid w:val="00F17550"/>
    <w:rsid w:val="00F176C7"/>
    <w:rsid w:val="00F201F4"/>
    <w:rsid w:val="00F20471"/>
    <w:rsid w:val="00F20E5A"/>
    <w:rsid w:val="00F24CA3"/>
    <w:rsid w:val="00F316EA"/>
    <w:rsid w:val="00F31901"/>
    <w:rsid w:val="00F34AFE"/>
    <w:rsid w:val="00F357B6"/>
    <w:rsid w:val="00F35FED"/>
    <w:rsid w:val="00F415F2"/>
    <w:rsid w:val="00F438A5"/>
    <w:rsid w:val="00F45246"/>
    <w:rsid w:val="00F46D3F"/>
    <w:rsid w:val="00F4765B"/>
    <w:rsid w:val="00F51354"/>
    <w:rsid w:val="00F56DF1"/>
    <w:rsid w:val="00F60049"/>
    <w:rsid w:val="00F70ACD"/>
    <w:rsid w:val="00F71012"/>
    <w:rsid w:val="00F73A5A"/>
    <w:rsid w:val="00F756C4"/>
    <w:rsid w:val="00F76B73"/>
    <w:rsid w:val="00F80B64"/>
    <w:rsid w:val="00F8172F"/>
    <w:rsid w:val="00F834C7"/>
    <w:rsid w:val="00F903E8"/>
    <w:rsid w:val="00F9205B"/>
    <w:rsid w:val="00F920F4"/>
    <w:rsid w:val="00F92D80"/>
    <w:rsid w:val="00F92DC8"/>
    <w:rsid w:val="00F95FCE"/>
    <w:rsid w:val="00FA11D9"/>
    <w:rsid w:val="00FA75DA"/>
    <w:rsid w:val="00FB09FF"/>
    <w:rsid w:val="00FB321F"/>
    <w:rsid w:val="00FC03A7"/>
    <w:rsid w:val="00FC08AD"/>
    <w:rsid w:val="00FC1858"/>
    <w:rsid w:val="00FC2607"/>
    <w:rsid w:val="00FC29D8"/>
    <w:rsid w:val="00FC3225"/>
    <w:rsid w:val="00FC4291"/>
    <w:rsid w:val="00FC5EA7"/>
    <w:rsid w:val="00FC7DD6"/>
    <w:rsid w:val="00FD296C"/>
    <w:rsid w:val="00FD3D7B"/>
    <w:rsid w:val="00FD44A4"/>
    <w:rsid w:val="00FD59F1"/>
    <w:rsid w:val="00FE1644"/>
    <w:rsid w:val="00FF201F"/>
    <w:rsid w:val="00FF25DF"/>
    <w:rsid w:val="00FF29E7"/>
    <w:rsid w:val="00FF343A"/>
    <w:rsid w:val="00FF498A"/>
    <w:rsid w:val="00FF5FBB"/>
    <w:rsid w:val="00FF6322"/>
    <w:rsid w:val="00FF7198"/>
    <w:rsid w:val="00FF78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EC5A0"/>
  <w15:docId w15:val="{F811BDFE-378D-4C78-9D06-2FD3F616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9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97499"/>
    <w:pPr>
      <w:tabs>
        <w:tab w:val="center" w:pos="4536"/>
        <w:tab w:val="right" w:pos="9072"/>
      </w:tabs>
    </w:pPr>
  </w:style>
  <w:style w:type="character" w:styleId="Numrodepage">
    <w:name w:val="page number"/>
    <w:basedOn w:val="Policepardfaut"/>
    <w:rsid w:val="00A97499"/>
  </w:style>
  <w:style w:type="paragraph" w:styleId="Pieddepage">
    <w:name w:val="footer"/>
    <w:basedOn w:val="Normal"/>
    <w:link w:val="PieddepageCar"/>
    <w:uiPriority w:val="99"/>
    <w:rsid w:val="00A97499"/>
    <w:pPr>
      <w:tabs>
        <w:tab w:val="center" w:pos="4536"/>
        <w:tab w:val="right" w:pos="9072"/>
      </w:tabs>
    </w:pPr>
  </w:style>
  <w:style w:type="paragraph" w:styleId="Notedebasdepage">
    <w:name w:val="footnote text"/>
    <w:basedOn w:val="Normal"/>
    <w:semiHidden/>
    <w:rsid w:val="008F54AA"/>
    <w:rPr>
      <w:sz w:val="20"/>
      <w:szCs w:val="20"/>
    </w:rPr>
  </w:style>
  <w:style w:type="character" w:styleId="Appelnotedebasdep">
    <w:name w:val="footnote reference"/>
    <w:basedOn w:val="Policepardfaut"/>
    <w:semiHidden/>
    <w:rsid w:val="008F54AA"/>
    <w:rPr>
      <w:vertAlign w:val="superscript"/>
    </w:rPr>
  </w:style>
  <w:style w:type="paragraph" w:styleId="NormalWeb">
    <w:name w:val="Normal (Web)"/>
    <w:basedOn w:val="Normal"/>
    <w:uiPriority w:val="99"/>
    <w:rsid w:val="004E68E8"/>
    <w:pPr>
      <w:spacing w:before="100" w:beforeAutospacing="1" w:after="100" w:afterAutospacing="1"/>
    </w:pPr>
  </w:style>
  <w:style w:type="character" w:styleId="lev">
    <w:name w:val="Strong"/>
    <w:basedOn w:val="Policepardfaut"/>
    <w:qFormat/>
    <w:rsid w:val="004E68E8"/>
    <w:rPr>
      <w:b/>
      <w:bCs/>
    </w:rPr>
  </w:style>
  <w:style w:type="character" w:customStyle="1" w:styleId="surligne">
    <w:name w:val="surligne"/>
    <w:basedOn w:val="Policepardfaut"/>
    <w:rsid w:val="00ED295D"/>
  </w:style>
  <w:style w:type="paragraph" w:styleId="Paragraphedeliste">
    <w:name w:val="List Paragraph"/>
    <w:basedOn w:val="Normal"/>
    <w:uiPriority w:val="34"/>
    <w:qFormat/>
    <w:rsid w:val="004C2F9C"/>
    <w:pPr>
      <w:ind w:left="720"/>
      <w:contextualSpacing/>
    </w:pPr>
  </w:style>
  <w:style w:type="character" w:styleId="Lienhypertexte">
    <w:name w:val="Hyperlink"/>
    <w:basedOn w:val="Policepardfaut"/>
    <w:uiPriority w:val="99"/>
    <w:semiHidden/>
    <w:unhideWhenUsed/>
    <w:rsid w:val="00B128B9"/>
    <w:rPr>
      <w:color w:val="0000FF"/>
      <w:u w:val="single"/>
    </w:rPr>
  </w:style>
  <w:style w:type="paragraph" w:styleId="Listepuces">
    <w:name w:val="List Bullet"/>
    <w:basedOn w:val="Normal"/>
    <w:uiPriority w:val="99"/>
    <w:unhideWhenUsed/>
    <w:rsid w:val="009A3A53"/>
    <w:pPr>
      <w:numPr>
        <w:numId w:val="1"/>
      </w:numPr>
      <w:contextualSpacing/>
    </w:pPr>
  </w:style>
  <w:style w:type="paragraph" w:customStyle="1" w:styleId="loose">
    <w:name w:val="loose"/>
    <w:basedOn w:val="Normal"/>
    <w:rsid w:val="00BB6B1E"/>
    <w:pPr>
      <w:spacing w:before="100" w:beforeAutospacing="1" w:after="100" w:afterAutospacing="1"/>
    </w:pPr>
  </w:style>
  <w:style w:type="character" w:customStyle="1" w:styleId="italic">
    <w:name w:val="italic"/>
    <w:basedOn w:val="Policepardfaut"/>
    <w:rsid w:val="00BB6B1E"/>
  </w:style>
  <w:style w:type="paragraph" w:styleId="Textedebulles">
    <w:name w:val="Balloon Text"/>
    <w:basedOn w:val="Normal"/>
    <w:link w:val="TextedebullesCar"/>
    <w:uiPriority w:val="99"/>
    <w:semiHidden/>
    <w:unhideWhenUsed/>
    <w:rsid w:val="004F00B2"/>
    <w:rPr>
      <w:rFonts w:ascii="Tahoma" w:hAnsi="Tahoma" w:cs="Tahoma"/>
      <w:sz w:val="16"/>
      <w:szCs w:val="16"/>
    </w:rPr>
  </w:style>
  <w:style w:type="character" w:customStyle="1" w:styleId="TextedebullesCar">
    <w:name w:val="Texte de bulles Car"/>
    <w:basedOn w:val="Policepardfaut"/>
    <w:link w:val="Textedebulles"/>
    <w:uiPriority w:val="99"/>
    <w:semiHidden/>
    <w:rsid w:val="004F00B2"/>
    <w:rPr>
      <w:rFonts w:ascii="Tahoma" w:hAnsi="Tahoma" w:cs="Tahoma"/>
      <w:sz w:val="16"/>
      <w:szCs w:val="16"/>
    </w:rPr>
  </w:style>
  <w:style w:type="character" w:customStyle="1" w:styleId="surlignage">
    <w:name w:val="surlignage"/>
    <w:basedOn w:val="Policepardfaut"/>
    <w:rsid w:val="00C04046"/>
  </w:style>
  <w:style w:type="paragraph" w:customStyle="1" w:styleId="normal2">
    <w:name w:val="normal2"/>
    <w:basedOn w:val="Normal"/>
    <w:rsid w:val="0099714C"/>
    <w:pPr>
      <w:spacing w:before="120" w:line="312" w:lineRule="atLeast"/>
      <w:jc w:val="both"/>
    </w:pPr>
  </w:style>
  <w:style w:type="character" w:customStyle="1" w:styleId="PieddepageCar">
    <w:name w:val="Pied de page Car"/>
    <w:basedOn w:val="Policepardfaut"/>
    <w:link w:val="Pieddepage"/>
    <w:uiPriority w:val="99"/>
    <w:rsid w:val="003E3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3830">
      <w:bodyDiv w:val="1"/>
      <w:marLeft w:val="0"/>
      <w:marRight w:val="0"/>
      <w:marTop w:val="0"/>
      <w:marBottom w:val="0"/>
      <w:divBdr>
        <w:top w:val="none" w:sz="0" w:space="0" w:color="auto"/>
        <w:left w:val="none" w:sz="0" w:space="0" w:color="auto"/>
        <w:bottom w:val="none" w:sz="0" w:space="0" w:color="auto"/>
        <w:right w:val="none" w:sz="0" w:space="0" w:color="auto"/>
      </w:divBdr>
      <w:divsChild>
        <w:div w:id="1118068620">
          <w:marLeft w:val="0"/>
          <w:marRight w:val="0"/>
          <w:marTop w:val="0"/>
          <w:marBottom w:val="0"/>
          <w:divBdr>
            <w:top w:val="none" w:sz="0" w:space="0" w:color="auto"/>
            <w:left w:val="none" w:sz="0" w:space="0" w:color="auto"/>
            <w:bottom w:val="none" w:sz="0" w:space="0" w:color="auto"/>
            <w:right w:val="none" w:sz="0" w:space="0" w:color="auto"/>
          </w:divBdr>
          <w:divsChild>
            <w:div w:id="290214242">
              <w:marLeft w:val="0"/>
              <w:marRight w:val="0"/>
              <w:marTop w:val="0"/>
              <w:marBottom w:val="0"/>
              <w:divBdr>
                <w:top w:val="none" w:sz="0" w:space="0" w:color="auto"/>
                <w:left w:val="none" w:sz="0" w:space="0" w:color="auto"/>
                <w:bottom w:val="none" w:sz="0" w:space="0" w:color="auto"/>
                <w:right w:val="none" w:sz="0" w:space="0" w:color="auto"/>
              </w:divBdr>
              <w:divsChild>
                <w:div w:id="1706828032">
                  <w:marLeft w:val="0"/>
                  <w:marRight w:val="0"/>
                  <w:marTop w:val="0"/>
                  <w:marBottom w:val="0"/>
                  <w:divBdr>
                    <w:top w:val="none" w:sz="0" w:space="0" w:color="auto"/>
                    <w:left w:val="none" w:sz="0" w:space="0" w:color="auto"/>
                    <w:bottom w:val="none" w:sz="0" w:space="0" w:color="auto"/>
                    <w:right w:val="none" w:sz="0" w:space="0" w:color="auto"/>
                  </w:divBdr>
                  <w:divsChild>
                    <w:div w:id="920220719">
                      <w:marLeft w:val="0"/>
                      <w:marRight w:val="0"/>
                      <w:marTop w:val="0"/>
                      <w:marBottom w:val="0"/>
                      <w:divBdr>
                        <w:top w:val="none" w:sz="0" w:space="0" w:color="auto"/>
                        <w:left w:val="none" w:sz="0" w:space="0" w:color="auto"/>
                        <w:bottom w:val="none" w:sz="0" w:space="0" w:color="auto"/>
                        <w:right w:val="none" w:sz="0" w:space="0" w:color="auto"/>
                      </w:divBdr>
                      <w:divsChild>
                        <w:div w:id="1439444399">
                          <w:marLeft w:val="0"/>
                          <w:marRight w:val="0"/>
                          <w:marTop w:val="0"/>
                          <w:marBottom w:val="0"/>
                          <w:divBdr>
                            <w:top w:val="none" w:sz="0" w:space="0" w:color="auto"/>
                            <w:left w:val="none" w:sz="0" w:space="0" w:color="auto"/>
                            <w:bottom w:val="none" w:sz="0" w:space="0" w:color="auto"/>
                            <w:right w:val="none" w:sz="0" w:space="0" w:color="auto"/>
                          </w:divBdr>
                          <w:divsChild>
                            <w:div w:id="874854309">
                              <w:marLeft w:val="0"/>
                              <w:marRight w:val="0"/>
                              <w:marTop w:val="0"/>
                              <w:marBottom w:val="0"/>
                              <w:divBdr>
                                <w:top w:val="none" w:sz="0" w:space="0" w:color="auto"/>
                                <w:left w:val="none" w:sz="0" w:space="0" w:color="auto"/>
                                <w:bottom w:val="none" w:sz="0" w:space="0" w:color="auto"/>
                                <w:right w:val="none" w:sz="0" w:space="0" w:color="auto"/>
                              </w:divBdr>
                              <w:divsChild>
                                <w:div w:id="14208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717669">
      <w:bodyDiv w:val="1"/>
      <w:marLeft w:val="0"/>
      <w:marRight w:val="0"/>
      <w:marTop w:val="0"/>
      <w:marBottom w:val="0"/>
      <w:divBdr>
        <w:top w:val="none" w:sz="0" w:space="0" w:color="auto"/>
        <w:left w:val="none" w:sz="0" w:space="0" w:color="auto"/>
        <w:bottom w:val="none" w:sz="0" w:space="0" w:color="auto"/>
        <w:right w:val="none" w:sz="0" w:space="0" w:color="auto"/>
      </w:divBdr>
      <w:divsChild>
        <w:div w:id="1287081690">
          <w:marLeft w:val="0"/>
          <w:marRight w:val="0"/>
          <w:marTop w:val="0"/>
          <w:marBottom w:val="0"/>
          <w:divBdr>
            <w:top w:val="none" w:sz="0" w:space="0" w:color="auto"/>
            <w:left w:val="none" w:sz="0" w:space="0" w:color="auto"/>
            <w:bottom w:val="none" w:sz="0" w:space="0" w:color="auto"/>
            <w:right w:val="none" w:sz="0" w:space="0" w:color="auto"/>
          </w:divBdr>
          <w:divsChild>
            <w:div w:id="460854195">
              <w:marLeft w:val="0"/>
              <w:marRight w:val="0"/>
              <w:marTop w:val="0"/>
              <w:marBottom w:val="0"/>
              <w:divBdr>
                <w:top w:val="none" w:sz="0" w:space="0" w:color="auto"/>
                <w:left w:val="none" w:sz="0" w:space="0" w:color="auto"/>
                <w:bottom w:val="none" w:sz="0" w:space="0" w:color="auto"/>
                <w:right w:val="none" w:sz="0" w:space="0" w:color="auto"/>
              </w:divBdr>
              <w:divsChild>
                <w:div w:id="2089693598">
                  <w:marLeft w:val="0"/>
                  <w:marRight w:val="0"/>
                  <w:marTop w:val="0"/>
                  <w:marBottom w:val="0"/>
                  <w:divBdr>
                    <w:top w:val="none" w:sz="0" w:space="0" w:color="auto"/>
                    <w:left w:val="none" w:sz="0" w:space="0" w:color="auto"/>
                    <w:bottom w:val="none" w:sz="0" w:space="0" w:color="auto"/>
                    <w:right w:val="none" w:sz="0" w:space="0" w:color="auto"/>
                  </w:divBdr>
                  <w:divsChild>
                    <w:div w:id="13191290">
                      <w:marLeft w:val="0"/>
                      <w:marRight w:val="0"/>
                      <w:marTop w:val="0"/>
                      <w:marBottom w:val="0"/>
                      <w:divBdr>
                        <w:top w:val="none" w:sz="0" w:space="0" w:color="auto"/>
                        <w:left w:val="none" w:sz="0" w:space="0" w:color="auto"/>
                        <w:bottom w:val="none" w:sz="0" w:space="0" w:color="auto"/>
                        <w:right w:val="none" w:sz="0" w:space="0" w:color="auto"/>
                      </w:divBdr>
                      <w:divsChild>
                        <w:div w:id="10496787">
                          <w:marLeft w:val="0"/>
                          <w:marRight w:val="0"/>
                          <w:marTop w:val="0"/>
                          <w:marBottom w:val="0"/>
                          <w:divBdr>
                            <w:top w:val="none" w:sz="0" w:space="0" w:color="auto"/>
                            <w:left w:val="none" w:sz="0" w:space="0" w:color="auto"/>
                            <w:bottom w:val="none" w:sz="0" w:space="0" w:color="auto"/>
                            <w:right w:val="none" w:sz="0" w:space="0" w:color="auto"/>
                          </w:divBdr>
                          <w:divsChild>
                            <w:div w:id="551699077">
                              <w:marLeft w:val="0"/>
                              <w:marRight w:val="0"/>
                              <w:marTop w:val="0"/>
                              <w:marBottom w:val="0"/>
                              <w:divBdr>
                                <w:top w:val="none" w:sz="0" w:space="0" w:color="auto"/>
                                <w:left w:val="none" w:sz="0" w:space="0" w:color="auto"/>
                                <w:bottom w:val="none" w:sz="0" w:space="0" w:color="auto"/>
                                <w:right w:val="none" w:sz="0" w:space="0" w:color="auto"/>
                              </w:divBdr>
                              <w:divsChild>
                                <w:div w:id="192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0551">
      <w:bodyDiv w:val="1"/>
      <w:marLeft w:val="0"/>
      <w:marRight w:val="0"/>
      <w:marTop w:val="0"/>
      <w:marBottom w:val="0"/>
      <w:divBdr>
        <w:top w:val="none" w:sz="0" w:space="0" w:color="auto"/>
        <w:left w:val="none" w:sz="0" w:space="0" w:color="auto"/>
        <w:bottom w:val="none" w:sz="0" w:space="0" w:color="auto"/>
        <w:right w:val="none" w:sz="0" w:space="0" w:color="auto"/>
      </w:divBdr>
      <w:divsChild>
        <w:div w:id="1632712859">
          <w:marLeft w:val="0"/>
          <w:marRight w:val="0"/>
          <w:marTop w:val="0"/>
          <w:marBottom w:val="0"/>
          <w:divBdr>
            <w:top w:val="none" w:sz="0" w:space="0" w:color="auto"/>
            <w:left w:val="none" w:sz="0" w:space="0" w:color="auto"/>
            <w:bottom w:val="none" w:sz="0" w:space="0" w:color="auto"/>
            <w:right w:val="none" w:sz="0" w:space="0" w:color="auto"/>
          </w:divBdr>
          <w:divsChild>
            <w:div w:id="844172541">
              <w:marLeft w:val="0"/>
              <w:marRight w:val="0"/>
              <w:marTop w:val="0"/>
              <w:marBottom w:val="0"/>
              <w:divBdr>
                <w:top w:val="none" w:sz="0" w:space="0" w:color="auto"/>
                <w:left w:val="none" w:sz="0" w:space="0" w:color="auto"/>
                <w:bottom w:val="none" w:sz="0" w:space="0" w:color="auto"/>
                <w:right w:val="none" w:sz="0" w:space="0" w:color="auto"/>
              </w:divBdr>
              <w:divsChild>
                <w:div w:id="251856637">
                  <w:marLeft w:val="0"/>
                  <w:marRight w:val="0"/>
                  <w:marTop w:val="0"/>
                  <w:marBottom w:val="0"/>
                  <w:divBdr>
                    <w:top w:val="none" w:sz="0" w:space="0" w:color="auto"/>
                    <w:left w:val="none" w:sz="0" w:space="0" w:color="auto"/>
                    <w:bottom w:val="none" w:sz="0" w:space="0" w:color="auto"/>
                    <w:right w:val="none" w:sz="0" w:space="0" w:color="auto"/>
                  </w:divBdr>
                  <w:divsChild>
                    <w:div w:id="838617357">
                      <w:marLeft w:val="0"/>
                      <w:marRight w:val="0"/>
                      <w:marTop w:val="0"/>
                      <w:marBottom w:val="0"/>
                      <w:divBdr>
                        <w:top w:val="none" w:sz="0" w:space="0" w:color="auto"/>
                        <w:left w:val="none" w:sz="0" w:space="0" w:color="auto"/>
                        <w:bottom w:val="none" w:sz="0" w:space="0" w:color="auto"/>
                        <w:right w:val="none" w:sz="0" w:space="0" w:color="auto"/>
                      </w:divBdr>
                      <w:divsChild>
                        <w:div w:id="1253052231">
                          <w:marLeft w:val="0"/>
                          <w:marRight w:val="0"/>
                          <w:marTop w:val="0"/>
                          <w:marBottom w:val="0"/>
                          <w:divBdr>
                            <w:top w:val="none" w:sz="0" w:space="0" w:color="auto"/>
                            <w:left w:val="none" w:sz="0" w:space="0" w:color="auto"/>
                            <w:bottom w:val="none" w:sz="0" w:space="0" w:color="auto"/>
                            <w:right w:val="none" w:sz="0" w:space="0" w:color="auto"/>
                          </w:divBdr>
                          <w:divsChild>
                            <w:div w:id="730613720">
                              <w:marLeft w:val="0"/>
                              <w:marRight w:val="0"/>
                              <w:marTop w:val="0"/>
                              <w:marBottom w:val="0"/>
                              <w:divBdr>
                                <w:top w:val="none" w:sz="0" w:space="0" w:color="auto"/>
                                <w:left w:val="none" w:sz="0" w:space="0" w:color="auto"/>
                                <w:bottom w:val="none" w:sz="0" w:space="0" w:color="auto"/>
                                <w:right w:val="none" w:sz="0" w:space="0" w:color="auto"/>
                              </w:divBdr>
                              <w:divsChild>
                                <w:div w:id="1357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2982">
      <w:bodyDiv w:val="1"/>
      <w:marLeft w:val="0"/>
      <w:marRight w:val="0"/>
      <w:marTop w:val="0"/>
      <w:marBottom w:val="0"/>
      <w:divBdr>
        <w:top w:val="none" w:sz="0" w:space="0" w:color="auto"/>
        <w:left w:val="none" w:sz="0" w:space="0" w:color="auto"/>
        <w:bottom w:val="none" w:sz="0" w:space="0" w:color="auto"/>
        <w:right w:val="none" w:sz="0" w:space="0" w:color="auto"/>
      </w:divBdr>
      <w:divsChild>
        <w:div w:id="778914829">
          <w:marLeft w:val="0"/>
          <w:marRight w:val="0"/>
          <w:marTop w:val="0"/>
          <w:marBottom w:val="0"/>
          <w:divBdr>
            <w:top w:val="none" w:sz="0" w:space="0" w:color="auto"/>
            <w:left w:val="none" w:sz="0" w:space="0" w:color="auto"/>
            <w:bottom w:val="none" w:sz="0" w:space="0" w:color="auto"/>
            <w:right w:val="none" w:sz="0" w:space="0" w:color="auto"/>
          </w:divBdr>
          <w:divsChild>
            <w:div w:id="120344222">
              <w:marLeft w:val="0"/>
              <w:marRight w:val="0"/>
              <w:marTop w:val="0"/>
              <w:marBottom w:val="0"/>
              <w:divBdr>
                <w:top w:val="none" w:sz="0" w:space="0" w:color="auto"/>
                <w:left w:val="none" w:sz="0" w:space="0" w:color="auto"/>
                <w:bottom w:val="none" w:sz="0" w:space="0" w:color="auto"/>
                <w:right w:val="none" w:sz="0" w:space="0" w:color="auto"/>
              </w:divBdr>
              <w:divsChild>
                <w:div w:id="318308419">
                  <w:marLeft w:val="0"/>
                  <w:marRight w:val="0"/>
                  <w:marTop w:val="0"/>
                  <w:marBottom w:val="0"/>
                  <w:divBdr>
                    <w:top w:val="none" w:sz="0" w:space="0" w:color="auto"/>
                    <w:left w:val="none" w:sz="0" w:space="0" w:color="auto"/>
                    <w:bottom w:val="none" w:sz="0" w:space="0" w:color="auto"/>
                    <w:right w:val="none" w:sz="0" w:space="0" w:color="auto"/>
                  </w:divBdr>
                  <w:divsChild>
                    <w:div w:id="19508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73401">
      <w:bodyDiv w:val="1"/>
      <w:marLeft w:val="0"/>
      <w:marRight w:val="0"/>
      <w:marTop w:val="0"/>
      <w:marBottom w:val="0"/>
      <w:divBdr>
        <w:top w:val="none" w:sz="0" w:space="0" w:color="auto"/>
        <w:left w:val="none" w:sz="0" w:space="0" w:color="auto"/>
        <w:bottom w:val="none" w:sz="0" w:space="0" w:color="auto"/>
        <w:right w:val="none" w:sz="0" w:space="0" w:color="auto"/>
      </w:divBdr>
      <w:divsChild>
        <w:div w:id="7366492">
          <w:marLeft w:val="75"/>
          <w:marRight w:val="75"/>
          <w:marTop w:val="0"/>
          <w:marBottom w:val="0"/>
          <w:divBdr>
            <w:top w:val="none" w:sz="0" w:space="0" w:color="auto"/>
            <w:left w:val="none" w:sz="0" w:space="0" w:color="auto"/>
            <w:bottom w:val="none" w:sz="0" w:space="0" w:color="auto"/>
            <w:right w:val="none" w:sz="0" w:space="0" w:color="auto"/>
          </w:divBdr>
          <w:divsChild>
            <w:div w:id="1514420451">
              <w:marLeft w:val="0"/>
              <w:marRight w:val="0"/>
              <w:marTop w:val="0"/>
              <w:marBottom w:val="0"/>
              <w:divBdr>
                <w:top w:val="none" w:sz="0" w:space="0" w:color="auto"/>
                <w:left w:val="none" w:sz="0" w:space="0" w:color="auto"/>
                <w:bottom w:val="none" w:sz="0" w:space="0" w:color="auto"/>
                <w:right w:val="none" w:sz="0" w:space="0" w:color="auto"/>
              </w:divBdr>
              <w:divsChild>
                <w:div w:id="1422684273">
                  <w:marLeft w:val="0"/>
                  <w:marRight w:val="0"/>
                  <w:marTop w:val="0"/>
                  <w:marBottom w:val="0"/>
                  <w:divBdr>
                    <w:top w:val="none" w:sz="0" w:space="0" w:color="auto"/>
                    <w:left w:val="none" w:sz="0" w:space="0" w:color="auto"/>
                    <w:bottom w:val="none" w:sz="0" w:space="0" w:color="auto"/>
                    <w:right w:val="none" w:sz="0" w:space="0" w:color="auto"/>
                  </w:divBdr>
                  <w:divsChild>
                    <w:div w:id="1779593950">
                      <w:marLeft w:val="0"/>
                      <w:marRight w:val="0"/>
                      <w:marTop w:val="0"/>
                      <w:marBottom w:val="0"/>
                      <w:divBdr>
                        <w:top w:val="none" w:sz="0" w:space="0" w:color="auto"/>
                        <w:left w:val="none" w:sz="0" w:space="0" w:color="auto"/>
                        <w:bottom w:val="none" w:sz="0" w:space="0" w:color="auto"/>
                        <w:right w:val="none" w:sz="0" w:space="0" w:color="auto"/>
                      </w:divBdr>
                      <w:divsChild>
                        <w:div w:id="6640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52648">
      <w:bodyDiv w:val="1"/>
      <w:marLeft w:val="0"/>
      <w:marRight w:val="0"/>
      <w:marTop w:val="0"/>
      <w:marBottom w:val="0"/>
      <w:divBdr>
        <w:top w:val="none" w:sz="0" w:space="0" w:color="auto"/>
        <w:left w:val="none" w:sz="0" w:space="0" w:color="auto"/>
        <w:bottom w:val="none" w:sz="0" w:space="0" w:color="auto"/>
        <w:right w:val="none" w:sz="0" w:space="0" w:color="auto"/>
      </w:divBdr>
      <w:divsChild>
        <w:div w:id="1758556617">
          <w:marLeft w:val="0"/>
          <w:marRight w:val="0"/>
          <w:marTop w:val="0"/>
          <w:marBottom w:val="0"/>
          <w:divBdr>
            <w:top w:val="none" w:sz="0" w:space="0" w:color="auto"/>
            <w:left w:val="none" w:sz="0" w:space="0" w:color="auto"/>
            <w:bottom w:val="none" w:sz="0" w:space="0" w:color="auto"/>
            <w:right w:val="none" w:sz="0" w:space="0" w:color="auto"/>
          </w:divBdr>
          <w:divsChild>
            <w:div w:id="388581027">
              <w:marLeft w:val="0"/>
              <w:marRight w:val="0"/>
              <w:marTop w:val="0"/>
              <w:marBottom w:val="0"/>
              <w:divBdr>
                <w:top w:val="none" w:sz="0" w:space="0" w:color="auto"/>
                <w:left w:val="none" w:sz="0" w:space="0" w:color="auto"/>
                <w:bottom w:val="none" w:sz="0" w:space="0" w:color="auto"/>
                <w:right w:val="none" w:sz="0" w:space="0" w:color="auto"/>
              </w:divBdr>
              <w:divsChild>
                <w:div w:id="1613054914">
                  <w:marLeft w:val="0"/>
                  <w:marRight w:val="0"/>
                  <w:marTop w:val="0"/>
                  <w:marBottom w:val="0"/>
                  <w:divBdr>
                    <w:top w:val="none" w:sz="0" w:space="0" w:color="auto"/>
                    <w:left w:val="none" w:sz="0" w:space="0" w:color="auto"/>
                    <w:bottom w:val="none" w:sz="0" w:space="0" w:color="auto"/>
                    <w:right w:val="none" w:sz="0" w:space="0" w:color="auto"/>
                  </w:divBdr>
                  <w:divsChild>
                    <w:div w:id="501359781">
                      <w:marLeft w:val="0"/>
                      <w:marRight w:val="0"/>
                      <w:marTop w:val="0"/>
                      <w:marBottom w:val="0"/>
                      <w:divBdr>
                        <w:top w:val="none" w:sz="0" w:space="0" w:color="auto"/>
                        <w:left w:val="none" w:sz="0" w:space="0" w:color="auto"/>
                        <w:bottom w:val="none" w:sz="0" w:space="0" w:color="auto"/>
                        <w:right w:val="none" w:sz="0" w:space="0" w:color="auto"/>
                      </w:divBdr>
                      <w:divsChild>
                        <w:div w:id="1108357486">
                          <w:marLeft w:val="0"/>
                          <w:marRight w:val="0"/>
                          <w:marTop w:val="0"/>
                          <w:marBottom w:val="0"/>
                          <w:divBdr>
                            <w:top w:val="none" w:sz="0" w:space="0" w:color="auto"/>
                            <w:left w:val="none" w:sz="0" w:space="0" w:color="auto"/>
                            <w:bottom w:val="none" w:sz="0" w:space="0" w:color="auto"/>
                            <w:right w:val="none" w:sz="0" w:space="0" w:color="auto"/>
                          </w:divBdr>
                          <w:divsChild>
                            <w:div w:id="546842027">
                              <w:marLeft w:val="0"/>
                              <w:marRight w:val="0"/>
                              <w:marTop w:val="0"/>
                              <w:marBottom w:val="0"/>
                              <w:divBdr>
                                <w:top w:val="none" w:sz="0" w:space="0" w:color="auto"/>
                                <w:left w:val="none" w:sz="0" w:space="0" w:color="auto"/>
                                <w:bottom w:val="none" w:sz="0" w:space="0" w:color="auto"/>
                                <w:right w:val="none" w:sz="0" w:space="0" w:color="auto"/>
                              </w:divBdr>
                            </w:div>
                            <w:div w:id="733742227">
                              <w:marLeft w:val="0"/>
                              <w:marRight w:val="0"/>
                              <w:marTop w:val="0"/>
                              <w:marBottom w:val="0"/>
                              <w:divBdr>
                                <w:top w:val="none" w:sz="0" w:space="0" w:color="auto"/>
                                <w:left w:val="none" w:sz="0" w:space="0" w:color="auto"/>
                                <w:bottom w:val="none" w:sz="0" w:space="0" w:color="auto"/>
                                <w:right w:val="none" w:sz="0" w:space="0" w:color="auto"/>
                              </w:divBdr>
                            </w:div>
                            <w:div w:id="257258356">
                              <w:marLeft w:val="0"/>
                              <w:marRight w:val="0"/>
                              <w:marTop w:val="0"/>
                              <w:marBottom w:val="0"/>
                              <w:divBdr>
                                <w:top w:val="none" w:sz="0" w:space="0" w:color="auto"/>
                                <w:left w:val="none" w:sz="0" w:space="0" w:color="auto"/>
                                <w:bottom w:val="none" w:sz="0" w:space="0" w:color="auto"/>
                                <w:right w:val="none" w:sz="0" w:space="0" w:color="auto"/>
                              </w:divBdr>
                            </w:div>
                            <w:div w:id="1323660128">
                              <w:marLeft w:val="0"/>
                              <w:marRight w:val="0"/>
                              <w:marTop w:val="0"/>
                              <w:marBottom w:val="0"/>
                              <w:divBdr>
                                <w:top w:val="none" w:sz="0" w:space="0" w:color="auto"/>
                                <w:left w:val="none" w:sz="0" w:space="0" w:color="auto"/>
                                <w:bottom w:val="none" w:sz="0" w:space="0" w:color="auto"/>
                                <w:right w:val="none" w:sz="0" w:space="0" w:color="auto"/>
                              </w:divBdr>
                            </w:div>
                          </w:divsChild>
                        </w:div>
                        <w:div w:id="1775438452">
                          <w:marLeft w:val="0"/>
                          <w:marRight w:val="0"/>
                          <w:marTop w:val="0"/>
                          <w:marBottom w:val="0"/>
                          <w:divBdr>
                            <w:top w:val="none" w:sz="0" w:space="0" w:color="auto"/>
                            <w:left w:val="none" w:sz="0" w:space="0" w:color="auto"/>
                            <w:bottom w:val="none" w:sz="0" w:space="0" w:color="auto"/>
                            <w:right w:val="none" w:sz="0" w:space="0" w:color="auto"/>
                          </w:divBdr>
                          <w:divsChild>
                            <w:div w:id="1798520730">
                              <w:marLeft w:val="0"/>
                              <w:marRight w:val="0"/>
                              <w:marTop w:val="0"/>
                              <w:marBottom w:val="0"/>
                              <w:divBdr>
                                <w:top w:val="none" w:sz="0" w:space="0" w:color="auto"/>
                                <w:left w:val="none" w:sz="0" w:space="0" w:color="auto"/>
                                <w:bottom w:val="none" w:sz="0" w:space="0" w:color="auto"/>
                                <w:right w:val="none" w:sz="0" w:space="0" w:color="auto"/>
                              </w:divBdr>
                            </w:div>
                            <w:div w:id="250897813">
                              <w:marLeft w:val="0"/>
                              <w:marRight w:val="0"/>
                              <w:marTop w:val="0"/>
                              <w:marBottom w:val="0"/>
                              <w:divBdr>
                                <w:top w:val="none" w:sz="0" w:space="0" w:color="auto"/>
                                <w:left w:val="none" w:sz="0" w:space="0" w:color="auto"/>
                                <w:bottom w:val="none" w:sz="0" w:space="0" w:color="auto"/>
                                <w:right w:val="none" w:sz="0" w:space="0" w:color="auto"/>
                              </w:divBdr>
                            </w:div>
                            <w:div w:id="4101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128">
      <w:bodyDiv w:val="1"/>
      <w:marLeft w:val="0"/>
      <w:marRight w:val="0"/>
      <w:marTop w:val="0"/>
      <w:marBottom w:val="0"/>
      <w:divBdr>
        <w:top w:val="none" w:sz="0" w:space="0" w:color="auto"/>
        <w:left w:val="none" w:sz="0" w:space="0" w:color="auto"/>
        <w:bottom w:val="none" w:sz="0" w:space="0" w:color="auto"/>
        <w:right w:val="none" w:sz="0" w:space="0" w:color="auto"/>
      </w:divBdr>
      <w:divsChild>
        <w:div w:id="1999989673">
          <w:marLeft w:val="0"/>
          <w:marRight w:val="0"/>
          <w:marTop w:val="0"/>
          <w:marBottom w:val="0"/>
          <w:divBdr>
            <w:top w:val="none" w:sz="0" w:space="0" w:color="auto"/>
            <w:left w:val="none" w:sz="0" w:space="0" w:color="auto"/>
            <w:bottom w:val="none" w:sz="0" w:space="0" w:color="auto"/>
            <w:right w:val="none" w:sz="0" w:space="0" w:color="auto"/>
          </w:divBdr>
          <w:divsChild>
            <w:div w:id="689989515">
              <w:marLeft w:val="0"/>
              <w:marRight w:val="0"/>
              <w:marTop w:val="0"/>
              <w:marBottom w:val="0"/>
              <w:divBdr>
                <w:top w:val="none" w:sz="0" w:space="0" w:color="auto"/>
                <w:left w:val="none" w:sz="0" w:space="0" w:color="auto"/>
                <w:bottom w:val="none" w:sz="0" w:space="0" w:color="auto"/>
                <w:right w:val="none" w:sz="0" w:space="0" w:color="auto"/>
              </w:divBdr>
              <w:divsChild>
                <w:div w:id="1787499295">
                  <w:marLeft w:val="0"/>
                  <w:marRight w:val="0"/>
                  <w:marTop w:val="0"/>
                  <w:marBottom w:val="0"/>
                  <w:divBdr>
                    <w:top w:val="none" w:sz="0" w:space="0" w:color="auto"/>
                    <w:left w:val="none" w:sz="0" w:space="0" w:color="auto"/>
                    <w:bottom w:val="none" w:sz="0" w:space="0" w:color="auto"/>
                    <w:right w:val="none" w:sz="0" w:space="0" w:color="auto"/>
                  </w:divBdr>
                  <w:divsChild>
                    <w:div w:id="1987392335">
                      <w:marLeft w:val="0"/>
                      <w:marRight w:val="0"/>
                      <w:marTop w:val="0"/>
                      <w:marBottom w:val="0"/>
                      <w:divBdr>
                        <w:top w:val="none" w:sz="0" w:space="0" w:color="auto"/>
                        <w:left w:val="none" w:sz="0" w:space="0" w:color="auto"/>
                        <w:bottom w:val="none" w:sz="0" w:space="0" w:color="auto"/>
                        <w:right w:val="none" w:sz="0" w:space="0" w:color="auto"/>
                      </w:divBdr>
                      <w:divsChild>
                        <w:div w:id="2029987128">
                          <w:marLeft w:val="0"/>
                          <w:marRight w:val="0"/>
                          <w:marTop w:val="0"/>
                          <w:marBottom w:val="0"/>
                          <w:divBdr>
                            <w:top w:val="none" w:sz="0" w:space="0" w:color="auto"/>
                            <w:left w:val="none" w:sz="0" w:space="0" w:color="auto"/>
                            <w:bottom w:val="none" w:sz="0" w:space="0" w:color="auto"/>
                            <w:right w:val="none" w:sz="0" w:space="0" w:color="auto"/>
                          </w:divBdr>
                          <w:divsChild>
                            <w:div w:id="14461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8428">
      <w:bodyDiv w:val="1"/>
      <w:marLeft w:val="0"/>
      <w:marRight w:val="0"/>
      <w:marTop w:val="0"/>
      <w:marBottom w:val="0"/>
      <w:divBdr>
        <w:top w:val="none" w:sz="0" w:space="0" w:color="auto"/>
        <w:left w:val="none" w:sz="0" w:space="0" w:color="auto"/>
        <w:bottom w:val="none" w:sz="0" w:space="0" w:color="auto"/>
        <w:right w:val="none" w:sz="0" w:space="0" w:color="auto"/>
      </w:divBdr>
      <w:divsChild>
        <w:div w:id="1745369041">
          <w:marLeft w:val="0"/>
          <w:marRight w:val="0"/>
          <w:marTop w:val="0"/>
          <w:marBottom w:val="0"/>
          <w:divBdr>
            <w:top w:val="none" w:sz="0" w:space="0" w:color="auto"/>
            <w:left w:val="none" w:sz="0" w:space="0" w:color="auto"/>
            <w:bottom w:val="none" w:sz="0" w:space="0" w:color="auto"/>
            <w:right w:val="none" w:sz="0" w:space="0" w:color="auto"/>
          </w:divBdr>
          <w:divsChild>
            <w:div w:id="336231505">
              <w:marLeft w:val="0"/>
              <w:marRight w:val="0"/>
              <w:marTop w:val="0"/>
              <w:marBottom w:val="0"/>
              <w:divBdr>
                <w:top w:val="none" w:sz="0" w:space="0" w:color="auto"/>
                <w:left w:val="none" w:sz="0" w:space="0" w:color="auto"/>
                <w:bottom w:val="none" w:sz="0" w:space="0" w:color="auto"/>
                <w:right w:val="none" w:sz="0" w:space="0" w:color="auto"/>
              </w:divBdr>
              <w:divsChild>
                <w:div w:id="312369242">
                  <w:marLeft w:val="0"/>
                  <w:marRight w:val="0"/>
                  <w:marTop w:val="0"/>
                  <w:marBottom w:val="0"/>
                  <w:divBdr>
                    <w:top w:val="none" w:sz="0" w:space="0" w:color="auto"/>
                    <w:left w:val="none" w:sz="0" w:space="0" w:color="auto"/>
                    <w:bottom w:val="none" w:sz="0" w:space="0" w:color="auto"/>
                    <w:right w:val="none" w:sz="0" w:space="0" w:color="auto"/>
                  </w:divBdr>
                  <w:divsChild>
                    <w:div w:id="545870898">
                      <w:marLeft w:val="1"/>
                      <w:marRight w:val="1"/>
                      <w:marTop w:val="0"/>
                      <w:marBottom w:val="0"/>
                      <w:divBdr>
                        <w:top w:val="none" w:sz="0" w:space="0" w:color="auto"/>
                        <w:left w:val="none" w:sz="0" w:space="0" w:color="auto"/>
                        <w:bottom w:val="none" w:sz="0" w:space="0" w:color="auto"/>
                        <w:right w:val="none" w:sz="0" w:space="0" w:color="auto"/>
                      </w:divBdr>
                      <w:divsChild>
                        <w:div w:id="219369945">
                          <w:marLeft w:val="0"/>
                          <w:marRight w:val="0"/>
                          <w:marTop w:val="0"/>
                          <w:marBottom w:val="0"/>
                          <w:divBdr>
                            <w:top w:val="none" w:sz="0" w:space="0" w:color="auto"/>
                            <w:left w:val="none" w:sz="0" w:space="0" w:color="auto"/>
                            <w:bottom w:val="none" w:sz="0" w:space="0" w:color="auto"/>
                            <w:right w:val="none" w:sz="0" w:space="0" w:color="auto"/>
                          </w:divBdr>
                          <w:divsChild>
                            <w:div w:id="526991538">
                              <w:marLeft w:val="0"/>
                              <w:marRight w:val="0"/>
                              <w:marTop w:val="0"/>
                              <w:marBottom w:val="360"/>
                              <w:divBdr>
                                <w:top w:val="none" w:sz="0" w:space="0" w:color="auto"/>
                                <w:left w:val="none" w:sz="0" w:space="0" w:color="auto"/>
                                <w:bottom w:val="none" w:sz="0" w:space="0" w:color="auto"/>
                                <w:right w:val="none" w:sz="0" w:space="0" w:color="auto"/>
                              </w:divBdr>
                              <w:divsChild>
                                <w:div w:id="1232303603">
                                  <w:marLeft w:val="0"/>
                                  <w:marRight w:val="0"/>
                                  <w:marTop w:val="0"/>
                                  <w:marBottom w:val="0"/>
                                  <w:divBdr>
                                    <w:top w:val="none" w:sz="0" w:space="0" w:color="auto"/>
                                    <w:left w:val="none" w:sz="0" w:space="0" w:color="auto"/>
                                    <w:bottom w:val="none" w:sz="0" w:space="0" w:color="auto"/>
                                    <w:right w:val="none" w:sz="0" w:space="0" w:color="auto"/>
                                  </w:divBdr>
                                  <w:divsChild>
                                    <w:div w:id="76438493">
                                      <w:marLeft w:val="0"/>
                                      <w:marRight w:val="0"/>
                                      <w:marTop w:val="0"/>
                                      <w:marBottom w:val="0"/>
                                      <w:divBdr>
                                        <w:top w:val="none" w:sz="0" w:space="0" w:color="auto"/>
                                        <w:left w:val="none" w:sz="0" w:space="0" w:color="auto"/>
                                        <w:bottom w:val="none" w:sz="0" w:space="0" w:color="auto"/>
                                        <w:right w:val="none" w:sz="0" w:space="0" w:color="auto"/>
                                      </w:divBdr>
                                      <w:divsChild>
                                        <w:div w:id="1678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86379">
      <w:bodyDiv w:val="1"/>
      <w:marLeft w:val="0"/>
      <w:marRight w:val="0"/>
      <w:marTop w:val="0"/>
      <w:marBottom w:val="0"/>
      <w:divBdr>
        <w:top w:val="none" w:sz="0" w:space="0" w:color="auto"/>
        <w:left w:val="none" w:sz="0" w:space="0" w:color="auto"/>
        <w:bottom w:val="none" w:sz="0" w:space="0" w:color="auto"/>
        <w:right w:val="none" w:sz="0" w:space="0" w:color="auto"/>
      </w:divBdr>
      <w:divsChild>
        <w:div w:id="2046979402">
          <w:marLeft w:val="0"/>
          <w:marRight w:val="0"/>
          <w:marTop w:val="0"/>
          <w:marBottom w:val="0"/>
          <w:divBdr>
            <w:top w:val="none" w:sz="0" w:space="0" w:color="auto"/>
            <w:left w:val="none" w:sz="0" w:space="0" w:color="auto"/>
            <w:bottom w:val="none" w:sz="0" w:space="0" w:color="auto"/>
            <w:right w:val="none" w:sz="0" w:space="0" w:color="auto"/>
          </w:divBdr>
          <w:divsChild>
            <w:div w:id="1032413070">
              <w:marLeft w:val="0"/>
              <w:marRight w:val="0"/>
              <w:marTop w:val="0"/>
              <w:marBottom w:val="0"/>
              <w:divBdr>
                <w:top w:val="none" w:sz="0" w:space="0" w:color="auto"/>
                <w:left w:val="none" w:sz="0" w:space="0" w:color="auto"/>
                <w:bottom w:val="none" w:sz="0" w:space="0" w:color="auto"/>
                <w:right w:val="none" w:sz="0" w:space="0" w:color="auto"/>
              </w:divBdr>
              <w:divsChild>
                <w:div w:id="1279529750">
                  <w:marLeft w:val="0"/>
                  <w:marRight w:val="0"/>
                  <w:marTop w:val="0"/>
                  <w:marBottom w:val="0"/>
                  <w:divBdr>
                    <w:top w:val="none" w:sz="0" w:space="0" w:color="auto"/>
                    <w:left w:val="none" w:sz="0" w:space="0" w:color="auto"/>
                    <w:bottom w:val="none" w:sz="0" w:space="0" w:color="auto"/>
                    <w:right w:val="none" w:sz="0" w:space="0" w:color="auto"/>
                  </w:divBdr>
                  <w:divsChild>
                    <w:div w:id="1925797853">
                      <w:marLeft w:val="0"/>
                      <w:marRight w:val="0"/>
                      <w:marTop w:val="0"/>
                      <w:marBottom w:val="0"/>
                      <w:divBdr>
                        <w:top w:val="none" w:sz="0" w:space="0" w:color="auto"/>
                        <w:left w:val="none" w:sz="0" w:space="0" w:color="auto"/>
                        <w:bottom w:val="none" w:sz="0" w:space="0" w:color="auto"/>
                        <w:right w:val="none" w:sz="0" w:space="0" w:color="auto"/>
                      </w:divBdr>
                      <w:divsChild>
                        <w:div w:id="1906065649">
                          <w:marLeft w:val="0"/>
                          <w:marRight w:val="0"/>
                          <w:marTop w:val="0"/>
                          <w:marBottom w:val="0"/>
                          <w:divBdr>
                            <w:top w:val="none" w:sz="0" w:space="0" w:color="auto"/>
                            <w:left w:val="none" w:sz="0" w:space="0" w:color="auto"/>
                            <w:bottom w:val="none" w:sz="0" w:space="0" w:color="auto"/>
                            <w:right w:val="none" w:sz="0" w:space="0" w:color="auto"/>
                          </w:divBdr>
                          <w:divsChild>
                            <w:div w:id="1532917237">
                              <w:marLeft w:val="0"/>
                              <w:marRight w:val="0"/>
                              <w:marTop w:val="0"/>
                              <w:marBottom w:val="0"/>
                              <w:divBdr>
                                <w:top w:val="none" w:sz="0" w:space="0" w:color="auto"/>
                                <w:left w:val="none" w:sz="0" w:space="0" w:color="auto"/>
                                <w:bottom w:val="none" w:sz="0" w:space="0" w:color="auto"/>
                                <w:right w:val="none" w:sz="0" w:space="0" w:color="auto"/>
                              </w:divBdr>
                              <w:divsChild>
                                <w:div w:id="9730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18912">
      <w:bodyDiv w:val="1"/>
      <w:marLeft w:val="0"/>
      <w:marRight w:val="0"/>
      <w:marTop w:val="0"/>
      <w:marBottom w:val="0"/>
      <w:divBdr>
        <w:top w:val="none" w:sz="0" w:space="0" w:color="auto"/>
        <w:left w:val="none" w:sz="0" w:space="0" w:color="auto"/>
        <w:bottom w:val="none" w:sz="0" w:space="0" w:color="auto"/>
        <w:right w:val="none" w:sz="0" w:space="0" w:color="auto"/>
      </w:divBdr>
      <w:divsChild>
        <w:div w:id="1581523149">
          <w:marLeft w:val="0"/>
          <w:marRight w:val="0"/>
          <w:marTop w:val="0"/>
          <w:marBottom w:val="0"/>
          <w:divBdr>
            <w:top w:val="none" w:sz="0" w:space="0" w:color="auto"/>
            <w:left w:val="none" w:sz="0" w:space="0" w:color="auto"/>
            <w:bottom w:val="none" w:sz="0" w:space="0" w:color="auto"/>
            <w:right w:val="none" w:sz="0" w:space="0" w:color="auto"/>
          </w:divBdr>
          <w:divsChild>
            <w:div w:id="1288391331">
              <w:marLeft w:val="0"/>
              <w:marRight w:val="0"/>
              <w:marTop w:val="0"/>
              <w:marBottom w:val="0"/>
              <w:divBdr>
                <w:top w:val="none" w:sz="0" w:space="0" w:color="auto"/>
                <w:left w:val="none" w:sz="0" w:space="0" w:color="auto"/>
                <w:bottom w:val="none" w:sz="0" w:space="0" w:color="auto"/>
                <w:right w:val="none" w:sz="0" w:space="0" w:color="auto"/>
              </w:divBdr>
              <w:divsChild>
                <w:div w:id="109477862">
                  <w:marLeft w:val="0"/>
                  <w:marRight w:val="0"/>
                  <w:marTop w:val="0"/>
                  <w:marBottom w:val="0"/>
                  <w:divBdr>
                    <w:top w:val="none" w:sz="0" w:space="0" w:color="auto"/>
                    <w:left w:val="none" w:sz="0" w:space="0" w:color="auto"/>
                    <w:bottom w:val="none" w:sz="0" w:space="0" w:color="auto"/>
                    <w:right w:val="none" w:sz="0" w:space="0" w:color="auto"/>
                  </w:divBdr>
                  <w:divsChild>
                    <w:div w:id="6671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2083-53F6-4B4D-8B71-B3B3F892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1561</Words>
  <Characters>8586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UNIVERSITÉ NANCY II</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NANCY II</dc:title>
  <dc:creator>User name placeholder</dc:creator>
  <cp:lastModifiedBy>Benoît Plessix</cp:lastModifiedBy>
  <cp:revision>2</cp:revision>
  <cp:lastPrinted>2019-05-28T16:03:00Z</cp:lastPrinted>
  <dcterms:created xsi:type="dcterms:W3CDTF">2021-04-22T17:00:00Z</dcterms:created>
  <dcterms:modified xsi:type="dcterms:W3CDTF">2021-04-22T17:00:00Z</dcterms:modified>
</cp:coreProperties>
</file>