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E5990" w14:textId="77777777" w:rsidR="00944A74" w:rsidRDefault="00944A74" w:rsidP="00944A74">
      <w:pPr>
        <w:widowControl w:val="0"/>
        <w:autoSpaceDE w:val="0"/>
        <w:autoSpaceDN w:val="0"/>
        <w:adjustRightInd w:val="0"/>
        <w:rPr>
          <w:sz w:val="3"/>
          <w:szCs w:val="3"/>
        </w:rPr>
      </w:pPr>
      <w:bookmarkStart w:id="0" w:name="_GoBack"/>
      <w:bookmarkEnd w:id="0"/>
    </w:p>
    <w:p w14:paraId="37DEC1CE"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14:paraId="77BDC32A" w14:textId="77777777" w:rsidR="00944A74" w:rsidRDefault="00944A74" w:rsidP="00944A74">
      <w:pPr>
        <w:widowControl w:val="0"/>
        <w:autoSpaceDE w:val="0"/>
        <w:autoSpaceDN w:val="0"/>
        <w:adjustRightInd w:val="0"/>
        <w:rPr>
          <w:rFonts w:ascii="Arial" w:hAnsi="Arial" w:cs="Arial"/>
          <w:b/>
          <w:bCs/>
          <w:color w:val="000000"/>
          <w:sz w:val="20"/>
          <w:szCs w:val="20"/>
        </w:rPr>
      </w:pPr>
    </w:p>
    <w:p w14:paraId="45F51F77" w14:textId="77777777" w:rsidR="00944A74" w:rsidRDefault="00944A74" w:rsidP="00944A74">
      <w:pPr>
        <w:widowControl w:val="0"/>
        <w:autoSpaceDE w:val="0"/>
        <w:autoSpaceDN w:val="0"/>
        <w:adjustRightInd w:val="0"/>
        <w:rPr>
          <w:rFonts w:ascii="Arial" w:hAnsi="Arial" w:cs="Arial"/>
          <w:b/>
          <w:bCs/>
          <w:color w:val="000000"/>
          <w:sz w:val="8"/>
          <w:szCs w:val="8"/>
        </w:rPr>
      </w:pPr>
    </w:p>
    <w:p w14:paraId="67C4DFC9" w14:textId="77777777"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DF792A" w:rsidRPr="00DF792A">
        <w:rPr>
          <w:b/>
          <w:highlight w:val="yellow"/>
        </w:rPr>
        <w:t>1275</w:t>
      </w:r>
    </w:p>
    <w:p w14:paraId="06CA0DC5" w14:textId="77777777" w:rsidR="00944A74" w:rsidRDefault="00944A74" w:rsidP="00944A74">
      <w:pPr>
        <w:widowControl w:val="0"/>
        <w:autoSpaceDE w:val="0"/>
        <w:autoSpaceDN w:val="0"/>
        <w:adjustRightInd w:val="0"/>
        <w:rPr>
          <w:rFonts w:ascii="Arial" w:hAnsi="Arial" w:cs="Arial"/>
          <w:b/>
          <w:bCs/>
          <w:color w:val="000000"/>
          <w:sz w:val="20"/>
          <w:szCs w:val="20"/>
        </w:rPr>
      </w:pPr>
    </w:p>
    <w:p w14:paraId="107EF9B0" w14:textId="77777777" w:rsidR="00944A74" w:rsidRDefault="00944A74" w:rsidP="00944A74">
      <w:pPr>
        <w:widowControl w:val="0"/>
        <w:autoSpaceDE w:val="0"/>
        <w:autoSpaceDN w:val="0"/>
        <w:adjustRightInd w:val="0"/>
        <w:rPr>
          <w:rFonts w:ascii="Arial" w:hAnsi="Arial" w:cs="Arial"/>
          <w:b/>
          <w:bCs/>
          <w:color w:val="000000"/>
          <w:sz w:val="15"/>
          <w:szCs w:val="15"/>
        </w:rPr>
      </w:pPr>
    </w:p>
    <w:p w14:paraId="723D9479" w14:textId="77777777" w:rsidR="00944A74" w:rsidRPr="00DF792A" w:rsidRDefault="00944A74" w:rsidP="00DF792A">
      <w:pPr>
        <w:widowControl w:val="0"/>
        <w:tabs>
          <w:tab w:val="left" w:pos="62"/>
        </w:tabs>
        <w:autoSpaceDE w:val="0"/>
        <w:autoSpaceDN w:val="0"/>
        <w:adjustRightInd w:val="0"/>
        <w:jc w:val="both"/>
        <w:rPr>
          <w:rFonts w:ascii="Arial" w:hAnsi="Arial" w:cs="Arial"/>
          <w:color w:val="000000"/>
        </w:rPr>
      </w:pPr>
      <w:r>
        <w:tab/>
      </w:r>
      <w:r w:rsidR="004F6AF8" w:rsidRPr="00DF792A">
        <w:rPr>
          <w:rFonts w:ascii="Arial" w:hAnsi="Arial" w:cs="Arial"/>
          <w:color w:val="000000"/>
        </w:rPr>
        <w:t>Paris</w:t>
      </w:r>
    </w:p>
    <w:p w14:paraId="3F75E75C" w14:textId="77777777" w:rsidR="00944A74" w:rsidRPr="00DF792A" w:rsidRDefault="00944A74" w:rsidP="00DF792A">
      <w:pPr>
        <w:widowControl w:val="0"/>
        <w:autoSpaceDE w:val="0"/>
        <w:autoSpaceDN w:val="0"/>
        <w:adjustRightInd w:val="0"/>
        <w:jc w:val="both"/>
        <w:rPr>
          <w:rFonts w:ascii="Arial" w:hAnsi="Arial" w:cs="Arial"/>
          <w:color w:val="000000"/>
        </w:rPr>
      </w:pPr>
    </w:p>
    <w:p w14:paraId="29398293" w14:textId="77777777" w:rsidR="00944A74" w:rsidRPr="00DF792A" w:rsidRDefault="00944A74" w:rsidP="00DF792A">
      <w:pPr>
        <w:widowControl w:val="0"/>
        <w:tabs>
          <w:tab w:val="left" w:pos="56"/>
          <w:tab w:val="left" w:pos="2688"/>
        </w:tabs>
        <w:autoSpaceDE w:val="0"/>
        <w:autoSpaceDN w:val="0"/>
        <w:adjustRightInd w:val="0"/>
        <w:jc w:val="both"/>
        <w:rPr>
          <w:rFonts w:ascii="Arial" w:hAnsi="Arial" w:cs="Arial"/>
          <w:color w:val="000000"/>
        </w:rPr>
      </w:pPr>
      <w:r w:rsidRPr="00DF792A">
        <w:rPr>
          <w:rFonts w:ascii="Arial" w:hAnsi="Arial" w:cs="Arial"/>
        </w:rPr>
        <w:tab/>
      </w:r>
      <w:r w:rsidRPr="00DF792A">
        <w:rPr>
          <w:rFonts w:ascii="Arial" w:hAnsi="Arial" w:cs="Arial"/>
          <w:b/>
          <w:bCs/>
          <w:color w:val="000000"/>
        </w:rPr>
        <w:t xml:space="preserve">Session : </w:t>
      </w:r>
      <w:r w:rsidRPr="00DF792A">
        <w:rPr>
          <w:rFonts w:ascii="Arial" w:hAnsi="Arial" w:cs="Arial"/>
        </w:rPr>
        <w:tab/>
      </w:r>
      <w:r w:rsidR="00BB4C4E" w:rsidRPr="00DF792A">
        <w:rPr>
          <w:rFonts w:ascii="Arial" w:hAnsi="Arial" w:cs="Arial"/>
          <w:color w:val="000000"/>
        </w:rPr>
        <w:t>Mai- Juin</w:t>
      </w:r>
      <w:r w:rsidRPr="00DF792A">
        <w:rPr>
          <w:rFonts w:ascii="Arial" w:hAnsi="Arial" w:cs="Arial"/>
          <w:color w:val="000000"/>
        </w:rPr>
        <w:t xml:space="preserve"> 2021</w:t>
      </w:r>
    </w:p>
    <w:p w14:paraId="1E530630" w14:textId="77777777" w:rsidR="00944A74" w:rsidRPr="00DF792A" w:rsidRDefault="00944A74" w:rsidP="00DF792A">
      <w:pPr>
        <w:widowControl w:val="0"/>
        <w:autoSpaceDE w:val="0"/>
        <w:autoSpaceDN w:val="0"/>
        <w:adjustRightInd w:val="0"/>
        <w:jc w:val="both"/>
        <w:rPr>
          <w:rFonts w:ascii="Arial" w:hAnsi="Arial" w:cs="Arial"/>
          <w:color w:val="000000"/>
        </w:rPr>
      </w:pPr>
    </w:p>
    <w:p w14:paraId="72212F88" w14:textId="77777777" w:rsidR="00973E54" w:rsidRPr="00DF792A" w:rsidRDefault="00944A74" w:rsidP="00DF792A">
      <w:pPr>
        <w:jc w:val="both"/>
        <w:rPr>
          <w:rFonts w:ascii="Arial" w:hAnsi="Arial" w:cs="Arial"/>
          <w:b/>
        </w:rPr>
      </w:pPr>
      <w:r w:rsidRPr="00DF792A">
        <w:rPr>
          <w:rFonts w:ascii="Arial" w:hAnsi="Arial" w:cs="Arial"/>
          <w:b/>
          <w:bCs/>
          <w:color w:val="000000"/>
        </w:rPr>
        <w:t xml:space="preserve">Année d'étude : </w:t>
      </w:r>
      <w:r w:rsidRPr="00DF792A">
        <w:rPr>
          <w:rFonts w:ascii="Arial" w:hAnsi="Arial" w:cs="Arial"/>
        </w:rPr>
        <w:tab/>
      </w:r>
      <w:r w:rsidR="00973E54" w:rsidRPr="00DF792A">
        <w:rPr>
          <w:rFonts w:ascii="Arial" w:hAnsi="Arial" w:cs="Arial"/>
        </w:rPr>
        <w:t>Diplôme de capacité (deuxième année)</w:t>
      </w:r>
    </w:p>
    <w:p w14:paraId="7E297B46" w14:textId="77777777" w:rsidR="00944A74" w:rsidRPr="00DF792A" w:rsidRDefault="00944A74" w:rsidP="00DF792A">
      <w:pPr>
        <w:widowControl w:val="0"/>
        <w:tabs>
          <w:tab w:val="left" w:pos="56"/>
          <w:tab w:val="left" w:pos="2688"/>
        </w:tabs>
        <w:autoSpaceDE w:val="0"/>
        <w:autoSpaceDN w:val="0"/>
        <w:adjustRightInd w:val="0"/>
        <w:jc w:val="both"/>
        <w:rPr>
          <w:rFonts w:ascii="Arial" w:hAnsi="Arial" w:cs="Arial"/>
          <w:color w:val="000000"/>
        </w:rPr>
      </w:pPr>
    </w:p>
    <w:p w14:paraId="186B2AD6" w14:textId="77777777" w:rsidR="00944A74" w:rsidRPr="00DF792A" w:rsidRDefault="00944A74" w:rsidP="00DF792A">
      <w:pPr>
        <w:widowControl w:val="0"/>
        <w:autoSpaceDE w:val="0"/>
        <w:autoSpaceDN w:val="0"/>
        <w:adjustRightInd w:val="0"/>
        <w:jc w:val="both"/>
        <w:rPr>
          <w:rFonts w:ascii="Arial" w:hAnsi="Arial" w:cs="Arial"/>
          <w:color w:val="000000"/>
        </w:rPr>
      </w:pPr>
    </w:p>
    <w:p w14:paraId="625717B3" w14:textId="77777777" w:rsidR="00944A74" w:rsidRPr="00DF792A" w:rsidRDefault="00944A74" w:rsidP="00DF792A">
      <w:pPr>
        <w:widowControl w:val="0"/>
        <w:tabs>
          <w:tab w:val="left" w:pos="56"/>
          <w:tab w:val="left" w:pos="2688"/>
        </w:tabs>
        <w:autoSpaceDE w:val="0"/>
        <w:autoSpaceDN w:val="0"/>
        <w:adjustRightInd w:val="0"/>
        <w:jc w:val="both"/>
        <w:rPr>
          <w:rFonts w:ascii="Arial" w:hAnsi="Arial" w:cs="Arial"/>
          <w:b/>
          <w:bCs/>
          <w:i/>
          <w:iCs/>
          <w:color w:val="000000"/>
        </w:rPr>
      </w:pPr>
      <w:r w:rsidRPr="00DF792A">
        <w:rPr>
          <w:rFonts w:ascii="Arial" w:hAnsi="Arial" w:cs="Arial"/>
        </w:rPr>
        <w:tab/>
      </w:r>
      <w:r w:rsidRPr="00DF792A">
        <w:rPr>
          <w:rFonts w:ascii="Arial" w:hAnsi="Arial" w:cs="Arial"/>
          <w:b/>
          <w:bCs/>
          <w:color w:val="000000"/>
        </w:rPr>
        <w:t xml:space="preserve">Discipline </w:t>
      </w:r>
      <w:proofErr w:type="gramStart"/>
      <w:r w:rsidRPr="00DF792A">
        <w:rPr>
          <w:rFonts w:ascii="Arial" w:hAnsi="Arial" w:cs="Arial"/>
          <w:b/>
          <w:bCs/>
          <w:color w:val="000000"/>
        </w:rPr>
        <w:t xml:space="preserve">: </w:t>
      </w:r>
      <w:r w:rsidR="00DF792A">
        <w:rPr>
          <w:rFonts w:ascii="Arial" w:hAnsi="Arial" w:cs="Arial"/>
        </w:rPr>
        <w:t xml:space="preserve"> </w:t>
      </w:r>
      <w:r w:rsidR="00973E54" w:rsidRPr="00DF792A">
        <w:rPr>
          <w:rFonts w:ascii="Arial" w:hAnsi="Arial" w:cs="Arial"/>
        </w:rPr>
        <w:t>Droit</w:t>
      </w:r>
      <w:proofErr w:type="gramEnd"/>
      <w:r w:rsidR="00973E54" w:rsidRPr="00DF792A">
        <w:rPr>
          <w:rFonts w:ascii="Arial" w:hAnsi="Arial" w:cs="Arial"/>
        </w:rPr>
        <w:t xml:space="preserve"> pénal et procédure pénale</w:t>
      </w:r>
    </w:p>
    <w:p w14:paraId="42352490" w14:textId="77777777" w:rsidR="00944A74" w:rsidRPr="00DF792A" w:rsidRDefault="00944A74" w:rsidP="00DF792A">
      <w:pPr>
        <w:widowControl w:val="0"/>
        <w:autoSpaceDE w:val="0"/>
        <w:autoSpaceDN w:val="0"/>
        <w:adjustRightInd w:val="0"/>
        <w:jc w:val="both"/>
        <w:rPr>
          <w:rFonts w:ascii="Arial" w:hAnsi="Arial" w:cs="Arial"/>
          <w:b/>
          <w:bCs/>
          <w:i/>
          <w:iCs/>
          <w:color w:val="000000"/>
        </w:rPr>
      </w:pPr>
    </w:p>
    <w:p w14:paraId="0BC88FCB" w14:textId="77777777" w:rsidR="00CD2095" w:rsidRPr="00DF792A" w:rsidRDefault="00CD2095" w:rsidP="00DF792A">
      <w:pPr>
        <w:widowControl w:val="0"/>
        <w:tabs>
          <w:tab w:val="left" w:pos="2688"/>
        </w:tabs>
        <w:autoSpaceDE w:val="0"/>
        <w:autoSpaceDN w:val="0"/>
        <w:adjustRightInd w:val="0"/>
        <w:jc w:val="both"/>
        <w:rPr>
          <w:rFonts w:ascii="Arial" w:hAnsi="Arial" w:cs="Arial"/>
          <w:color w:val="000000"/>
        </w:rPr>
      </w:pPr>
      <w:r w:rsidRPr="00DF792A">
        <w:rPr>
          <w:rFonts w:ascii="Arial" w:hAnsi="Arial" w:cs="Arial"/>
        </w:rPr>
        <w:tab/>
        <w:t xml:space="preserve">(Unités d’Enseignements </w:t>
      </w:r>
      <w:r w:rsidR="003B417D" w:rsidRPr="00DF792A">
        <w:rPr>
          <w:rFonts w:ascii="Arial" w:hAnsi="Arial" w:cs="Arial"/>
        </w:rPr>
        <w:t>Fondamentaux</w:t>
      </w:r>
      <w:r w:rsidRPr="00DF792A">
        <w:rPr>
          <w:rFonts w:ascii="Arial" w:hAnsi="Arial" w:cs="Arial"/>
        </w:rPr>
        <w:t xml:space="preserve"> 2)</w:t>
      </w:r>
    </w:p>
    <w:p w14:paraId="28410C4E" w14:textId="77777777" w:rsidR="00944A74" w:rsidRPr="00DF792A" w:rsidRDefault="00944A74" w:rsidP="00DF792A">
      <w:pPr>
        <w:widowControl w:val="0"/>
        <w:autoSpaceDE w:val="0"/>
        <w:autoSpaceDN w:val="0"/>
        <w:adjustRightInd w:val="0"/>
        <w:jc w:val="both"/>
        <w:rPr>
          <w:rFonts w:ascii="Arial" w:hAnsi="Arial" w:cs="Arial"/>
          <w:color w:val="000000"/>
        </w:rPr>
      </w:pPr>
    </w:p>
    <w:p w14:paraId="6281D098" w14:textId="77777777" w:rsidR="00944A74" w:rsidRPr="00DF792A" w:rsidRDefault="00944A74" w:rsidP="00DF792A">
      <w:pPr>
        <w:widowControl w:val="0"/>
        <w:tabs>
          <w:tab w:val="left" w:pos="56"/>
          <w:tab w:val="left" w:pos="2694"/>
        </w:tabs>
        <w:autoSpaceDE w:val="0"/>
        <w:autoSpaceDN w:val="0"/>
        <w:adjustRightInd w:val="0"/>
        <w:jc w:val="both"/>
        <w:rPr>
          <w:rFonts w:ascii="Arial" w:hAnsi="Arial" w:cs="Arial"/>
          <w:b/>
          <w:bCs/>
          <w:color w:val="000000"/>
        </w:rPr>
      </w:pPr>
      <w:r w:rsidRPr="00DF792A">
        <w:rPr>
          <w:rFonts w:ascii="Arial" w:hAnsi="Arial" w:cs="Arial"/>
        </w:rPr>
        <w:tab/>
      </w:r>
      <w:r w:rsidRPr="00DF792A">
        <w:rPr>
          <w:rFonts w:ascii="Arial" w:hAnsi="Arial" w:cs="Arial"/>
          <w:b/>
          <w:bCs/>
          <w:color w:val="000000"/>
        </w:rPr>
        <w:t xml:space="preserve">Titulaire(s) du cours : </w:t>
      </w:r>
      <w:r w:rsidR="006E78FF" w:rsidRPr="00DF792A">
        <w:rPr>
          <w:rFonts w:ascii="Arial" w:hAnsi="Arial" w:cs="Arial"/>
          <w:b/>
          <w:bCs/>
          <w:color w:val="000000"/>
        </w:rPr>
        <w:tab/>
      </w:r>
    </w:p>
    <w:p w14:paraId="292C4344" w14:textId="77777777" w:rsidR="00944A74" w:rsidRPr="00DF792A" w:rsidRDefault="00944A74" w:rsidP="00DF792A">
      <w:pPr>
        <w:widowControl w:val="0"/>
        <w:autoSpaceDE w:val="0"/>
        <w:autoSpaceDN w:val="0"/>
        <w:adjustRightInd w:val="0"/>
        <w:jc w:val="both"/>
        <w:rPr>
          <w:rFonts w:ascii="Arial" w:hAnsi="Arial" w:cs="Arial"/>
          <w:b/>
          <w:bCs/>
          <w:color w:val="000000"/>
        </w:rPr>
      </w:pPr>
    </w:p>
    <w:p w14:paraId="221D5EB2" w14:textId="77777777" w:rsidR="00973E54" w:rsidRPr="00DF792A" w:rsidRDefault="00973E54" w:rsidP="00DF792A">
      <w:pPr>
        <w:jc w:val="both"/>
        <w:rPr>
          <w:rFonts w:ascii="Arial" w:hAnsi="Arial" w:cs="Arial"/>
          <w:u w:val="single"/>
        </w:rPr>
      </w:pPr>
      <w:r w:rsidRPr="00DF792A">
        <w:rPr>
          <w:rFonts w:ascii="Arial" w:hAnsi="Arial" w:cs="Arial"/>
          <w:u w:val="single"/>
        </w:rPr>
        <w:t xml:space="preserve">Equipe pédagogique </w:t>
      </w:r>
    </w:p>
    <w:p w14:paraId="5BC6A815" w14:textId="77777777" w:rsidR="00973E54" w:rsidRPr="00DF792A" w:rsidRDefault="00973E54" w:rsidP="00DF792A">
      <w:pPr>
        <w:jc w:val="both"/>
        <w:rPr>
          <w:rFonts w:ascii="Arial" w:hAnsi="Arial" w:cs="Arial"/>
        </w:rPr>
      </w:pPr>
      <w:r w:rsidRPr="00DF792A">
        <w:rPr>
          <w:rFonts w:ascii="Arial" w:hAnsi="Arial" w:cs="Arial"/>
        </w:rPr>
        <w:t>Mme Diana Villegas</w:t>
      </w:r>
    </w:p>
    <w:p w14:paraId="6F2B0A2A" w14:textId="77777777" w:rsidR="00973E54" w:rsidRPr="00DF792A" w:rsidRDefault="00973E54" w:rsidP="00DF792A">
      <w:pPr>
        <w:jc w:val="both"/>
        <w:rPr>
          <w:rFonts w:ascii="Arial" w:hAnsi="Arial" w:cs="Arial"/>
        </w:rPr>
      </w:pPr>
      <w:r w:rsidRPr="00DF792A">
        <w:rPr>
          <w:rFonts w:ascii="Arial" w:hAnsi="Arial" w:cs="Arial"/>
        </w:rPr>
        <w:t xml:space="preserve">M. Lucas Jeannot </w:t>
      </w:r>
    </w:p>
    <w:p w14:paraId="6131D39C" w14:textId="77777777" w:rsidR="00944A74" w:rsidRPr="00DF792A" w:rsidRDefault="00944A74" w:rsidP="00DF792A">
      <w:pPr>
        <w:widowControl w:val="0"/>
        <w:tabs>
          <w:tab w:val="left" w:pos="2509"/>
        </w:tabs>
        <w:autoSpaceDE w:val="0"/>
        <w:autoSpaceDN w:val="0"/>
        <w:adjustRightInd w:val="0"/>
        <w:jc w:val="both"/>
        <w:rPr>
          <w:rFonts w:ascii="Arial" w:hAnsi="Arial" w:cs="Arial"/>
          <w:color w:val="000000"/>
        </w:rPr>
      </w:pPr>
      <w:r w:rsidRPr="00DF792A">
        <w:rPr>
          <w:rFonts w:ascii="Arial" w:hAnsi="Arial" w:cs="Arial"/>
        </w:rPr>
        <w:tab/>
      </w:r>
    </w:p>
    <w:p w14:paraId="4F8FE64E" w14:textId="77777777" w:rsidR="00110FE2" w:rsidRPr="00DF792A" w:rsidRDefault="00110FE2" w:rsidP="00DF792A">
      <w:pPr>
        <w:widowControl w:val="0"/>
        <w:tabs>
          <w:tab w:val="left" w:pos="56"/>
          <w:tab w:val="left" w:pos="2694"/>
        </w:tabs>
        <w:autoSpaceDE w:val="0"/>
        <w:autoSpaceDN w:val="0"/>
        <w:adjustRightInd w:val="0"/>
        <w:jc w:val="both"/>
        <w:rPr>
          <w:rFonts w:ascii="Arial" w:hAnsi="Arial" w:cs="Arial"/>
          <w:b/>
        </w:rPr>
      </w:pPr>
      <w:r w:rsidRPr="00DF792A">
        <w:rPr>
          <w:rFonts w:ascii="Arial" w:hAnsi="Arial" w:cs="Arial"/>
          <w:b/>
        </w:rPr>
        <w:t xml:space="preserve">Durée de l’épreuve : </w:t>
      </w:r>
      <w:r w:rsidR="006E78FF" w:rsidRPr="00DF792A">
        <w:rPr>
          <w:rFonts w:ascii="Arial" w:hAnsi="Arial" w:cs="Arial"/>
          <w:b/>
        </w:rPr>
        <w:tab/>
      </w:r>
      <w:r w:rsidR="00973E54" w:rsidRPr="00DF792A">
        <w:rPr>
          <w:rFonts w:ascii="Arial" w:hAnsi="Arial" w:cs="Arial"/>
        </w:rPr>
        <w:t>2 heures</w:t>
      </w:r>
    </w:p>
    <w:p w14:paraId="5E8327FC" w14:textId="77777777" w:rsidR="00110FE2" w:rsidRPr="00DF792A" w:rsidRDefault="00110FE2" w:rsidP="00DF792A">
      <w:pPr>
        <w:widowControl w:val="0"/>
        <w:tabs>
          <w:tab w:val="left" w:pos="56"/>
        </w:tabs>
        <w:autoSpaceDE w:val="0"/>
        <w:autoSpaceDN w:val="0"/>
        <w:adjustRightInd w:val="0"/>
        <w:jc w:val="both"/>
        <w:rPr>
          <w:rFonts w:ascii="Arial" w:hAnsi="Arial" w:cs="Arial"/>
        </w:rPr>
      </w:pPr>
    </w:p>
    <w:p w14:paraId="68A1CCBB" w14:textId="77777777" w:rsidR="00AE726E" w:rsidRPr="00DF792A" w:rsidRDefault="00AE726E" w:rsidP="00DF792A">
      <w:pPr>
        <w:widowControl w:val="0"/>
        <w:tabs>
          <w:tab w:val="left" w:pos="56"/>
        </w:tabs>
        <w:autoSpaceDE w:val="0"/>
        <w:autoSpaceDN w:val="0"/>
        <w:adjustRightInd w:val="0"/>
        <w:jc w:val="both"/>
        <w:rPr>
          <w:rFonts w:ascii="Arial" w:hAnsi="Arial" w:cs="Arial"/>
        </w:rPr>
      </w:pPr>
    </w:p>
    <w:p w14:paraId="22380823" w14:textId="77777777" w:rsidR="00DF792A" w:rsidRPr="00DF792A" w:rsidRDefault="00944A74" w:rsidP="00DF792A">
      <w:pPr>
        <w:jc w:val="both"/>
        <w:rPr>
          <w:rFonts w:ascii="Arial" w:hAnsi="Arial" w:cs="Arial"/>
        </w:rPr>
      </w:pPr>
      <w:r w:rsidRPr="00DF792A">
        <w:rPr>
          <w:rFonts w:ascii="Arial" w:hAnsi="Arial" w:cs="Arial"/>
          <w:b/>
          <w:bCs/>
          <w:color w:val="000000"/>
        </w:rPr>
        <w:t xml:space="preserve">Document(s) autorisé(s) : </w:t>
      </w:r>
      <w:r w:rsidR="00DF792A" w:rsidRPr="00DF792A">
        <w:rPr>
          <w:rFonts w:ascii="Arial" w:hAnsi="Arial" w:cs="Arial"/>
        </w:rPr>
        <w:t>L’utilisation du code pénal est autorisée</w:t>
      </w:r>
    </w:p>
    <w:p w14:paraId="5A9CF743" w14:textId="77777777" w:rsidR="00944A74" w:rsidRPr="00DF792A" w:rsidRDefault="00944A74" w:rsidP="00DF792A">
      <w:pPr>
        <w:widowControl w:val="0"/>
        <w:tabs>
          <w:tab w:val="left" w:pos="56"/>
        </w:tabs>
        <w:autoSpaceDE w:val="0"/>
        <w:autoSpaceDN w:val="0"/>
        <w:adjustRightInd w:val="0"/>
        <w:jc w:val="both"/>
        <w:rPr>
          <w:rFonts w:ascii="Arial" w:hAnsi="Arial" w:cs="Arial"/>
          <w:b/>
          <w:bCs/>
          <w:color w:val="000000"/>
        </w:rPr>
      </w:pPr>
    </w:p>
    <w:p w14:paraId="52C6A94B" w14:textId="77777777" w:rsidR="00944A74" w:rsidRPr="00DF792A" w:rsidRDefault="00944A74" w:rsidP="00DF792A">
      <w:pPr>
        <w:jc w:val="both"/>
        <w:rPr>
          <w:rFonts w:ascii="Arial" w:hAnsi="Arial" w:cs="Arial"/>
        </w:rPr>
      </w:pPr>
    </w:p>
    <w:p w14:paraId="2A5987ED" w14:textId="77777777" w:rsidR="00DF792A" w:rsidRPr="00DF792A" w:rsidRDefault="00DF792A" w:rsidP="00DF792A">
      <w:pPr>
        <w:jc w:val="center"/>
        <w:rPr>
          <w:rFonts w:ascii="Arial" w:hAnsi="Arial" w:cs="Arial"/>
          <w:b/>
          <w:i/>
          <w:u w:val="single"/>
        </w:rPr>
      </w:pPr>
      <w:r w:rsidRPr="00DF792A">
        <w:rPr>
          <w:rFonts w:ascii="Arial" w:hAnsi="Arial" w:cs="Arial"/>
          <w:b/>
          <w:i/>
          <w:u w:val="single"/>
        </w:rPr>
        <w:t>Lisez bien le sujet, les questions et les annexes.</w:t>
      </w:r>
    </w:p>
    <w:p w14:paraId="47C0553B" w14:textId="77777777" w:rsidR="00DF792A" w:rsidRPr="00DF792A" w:rsidRDefault="00DF792A" w:rsidP="00DF792A">
      <w:pPr>
        <w:jc w:val="both"/>
        <w:rPr>
          <w:rFonts w:ascii="Arial" w:hAnsi="Arial" w:cs="Arial"/>
          <w:b/>
          <w:i/>
        </w:rPr>
      </w:pPr>
    </w:p>
    <w:p w14:paraId="389292DF" w14:textId="77777777" w:rsidR="00DF792A" w:rsidRPr="00DF792A" w:rsidRDefault="00DF792A" w:rsidP="00DF792A">
      <w:pPr>
        <w:jc w:val="both"/>
        <w:rPr>
          <w:rFonts w:ascii="Arial" w:hAnsi="Arial" w:cs="Arial"/>
        </w:rPr>
      </w:pPr>
    </w:p>
    <w:p w14:paraId="6A195811" w14:textId="77777777" w:rsidR="00DF792A" w:rsidRPr="00DF792A" w:rsidRDefault="00DF792A" w:rsidP="00DF792A">
      <w:pPr>
        <w:jc w:val="both"/>
        <w:rPr>
          <w:rFonts w:ascii="Arial" w:hAnsi="Arial" w:cs="Arial"/>
        </w:rPr>
      </w:pPr>
      <w:r w:rsidRPr="00DF792A">
        <w:rPr>
          <w:rFonts w:ascii="Arial" w:hAnsi="Arial" w:cs="Arial"/>
          <w:b/>
          <w:bCs/>
          <w:u w:val="single"/>
        </w:rPr>
        <w:t>Consignes</w:t>
      </w:r>
      <w:r w:rsidRPr="00DF792A">
        <w:rPr>
          <w:rFonts w:ascii="Arial" w:hAnsi="Arial" w:cs="Arial"/>
          <w:b/>
          <w:bCs/>
        </w:rPr>
        <w:t> : Vous devez réaliser la fiche d’arrêt de la décision suivante puis répondre aux questions posées après l’arrêt</w:t>
      </w:r>
      <w:r w:rsidRPr="00DF792A">
        <w:rPr>
          <w:rFonts w:ascii="Arial" w:hAnsi="Arial" w:cs="Arial"/>
        </w:rPr>
        <w:t>.</w:t>
      </w:r>
    </w:p>
    <w:p w14:paraId="695462F5" w14:textId="77777777" w:rsidR="00DF792A" w:rsidRPr="00DF792A" w:rsidRDefault="00DF792A" w:rsidP="00DF792A">
      <w:pPr>
        <w:jc w:val="both"/>
        <w:rPr>
          <w:rFonts w:ascii="Arial" w:hAnsi="Arial" w:cs="Arial"/>
        </w:rPr>
      </w:pPr>
    </w:p>
    <w:p w14:paraId="65654896" w14:textId="77777777" w:rsidR="00DF792A" w:rsidRPr="00DF792A" w:rsidRDefault="00DF792A" w:rsidP="00DF792A">
      <w:pPr>
        <w:jc w:val="both"/>
        <w:rPr>
          <w:rFonts w:ascii="Arial" w:hAnsi="Arial" w:cs="Arial"/>
          <w:b/>
        </w:rPr>
      </w:pPr>
      <w:proofErr w:type="spellStart"/>
      <w:r w:rsidRPr="00DF792A">
        <w:rPr>
          <w:rFonts w:ascii="Arial" w:hAnsi="Arial" w:cs="Arial"/>
          <w:b/>
        </w:rPr>
        <w:t>Crim</w:t>
      </w:r>
      <w:proofErr w:type="spellEnd"/>
      <w:r w:rsidRPr="00DF792A">
        <w:rPr>
          <w:rFonts w:ascii="Arial" w:hAnsi="Arial" w:cs="Arial"/>
          <w:b/>
        </w:rPr>
        <w:t>. 13 juin 2019, n ° 17-82.470</w:t>
      </w:r>
    </w:p>
    <w:p w14:paraId="799E9ECC" w14:textId="77777777" w:rsidR="00DF792A" w:rsidRPr="00DF792A" w:rsidRDefault="00DF792A" w:rsidP="00DF792A">
      <w:pPr>
        <w:jc w:val="both"/>
        <w:rPr>
          <w:rFonts w:ascii="Arial" w:hAnsi="Arial" w:cs="Arial"/>
        </w:rPr>
      </w:pPr>
    </w:p>
    <w:p w14:paraId="553EDF0F" w14:textId="77777777" w:rsidR="00DF792A" w:rsidRPr="00DF792A" w:rsidRDefault="00DF792A" w:rsidP="00DF792A">
      <w:pPr>
        <w:jc w:val="both"/>
        <w:rPr>
          <w:rFonts w:ascii="Arial" w:hAnsi="Arial" w:cs="Arial"/>
        </w:rPr>
      </w:pPr>
      <w:r w:rsidRPr="00DF792A">
        <w:rPr>
          <w:rFonts w:ascii="Arial" w:hAnsi="Arial" w:cs="Arial"/>
        </w:rPr>
        <w:t xml:space="preserve">LA COUR DE CASSATION, CHAMBRE CRIMINELLE, en son audience publique tenue au Palais de Justice à PARIS, a rendu l'arrêt suivant </w:t>
      </w:r>
      <w:proofErr w:type="gramStart"/>
      <w:r w:rsidRPr="00DF792A">
        <w:rPr>
          <w:rFonts w:ascii="Arial" w:hAnsi="Arial" w:cs="Arial"/>
        </w:rPr>
        <w:t>:</w:t>
      </w:r>
      <w:proofErr w:type="gramEnd"/>
      <w:r w:rsidRPr="00DF792A">
        <w:rPr>
          <w:rFonts w:ascii="Arial" w:hAnsi="Arial" w:cs="Arial"/>
        </w:rPr>
        <w:br/>
      </w:r>
      <w:r w:rsidRPr="00DF792A">
        <w:rPr>
          <w:rFonts w:ascii="Arial" w:hAnsi="Arial" w:cs="Arial"/>
        </w:rPr>
        <w:br/>
        <w:t xml:space="preserve">REJET du pourvoi formé par le procureur général près la cour d'appel de Paris, contre l'arrêt de la dite cour, chambre 5-13, en date du 31 mars 2017, qui a renvoyé la société Euroland </w:t>
      </w:r>
      <w:proofErr w:type="spellStart"/>
      <w:r w:rsidRPr="00DF792A">
        <w:rPr>
          <w:rFonts w:ascii="Arial" w:hAnsi="Arial" w:cs="Arial"/>
        </w:rPr>
        <w:t>Corporate</w:t>
      </w:r>
      <w:proofErr w:type="spellEnd"/>
      <w:r w:rsidRPr="00DF792A">
        <w:rPr>
          <w:rFonts w:ascii="Arial" w:hAnsi="Arial" w:cs="Arial"/>
        </w:rPr>
        <w:t xml:space="preserve"> et M. Z... M... des fins de la poursuite du chef de fourniture illégale de service d'investissement à des tiers à titre de profession habituelle ;</w:t>
      </w:r>
      <w:r w:rsidRPr="00DF792A">
        <w:rPr>
          <w:rFonts w:ascii="Arial" w:hAnsi="Arial" w:cs="Arial"/>
        </w:rPr>
        <w:br/>
      </w:r>
      <w:r w:rsidRPr="00DF792A">
        <w:rPr>
          <w:rFonts w:ascii="Arial" w:hAnsi="Arial" w:cs="Arial"/>
        </w:rPr>
        <w:br/>
        <w:t>[…]</w:t>
      </w:r>
      <w:r w:rsidRPr="00DF792A">
        <w:rPr>
          <w:rFonts w:ascii="Arial" w:hAnsi="Arial" w:cs="Arial"/>
        </w:rPr>
        <w:br/>
      </w:r>
      <w:r w:rsidRPr="00DF792A">
        <w:rPr>
          <w:rFonts w:ascii="Arial" w:hAnsi="Arial" w:cs="Arial"/>
        </w:rPr>
        <w:br/>
        <w:t>Vu les mémoires produits en demande et en défense ;</w:t>
      </w:r>
      <w:r w:rsidRPr="00DF792A">
        <w:rPr>
          <w:rFonts w:ascii="Arial" w:hAnsi="Arial" w:cs="Arial"/>
        </w:rPr>
        <w:br/>
      </w:r>
      <w:r w:rsidRPr="00DF792A">
        <w:rPr>
          <w:rFonts w:ascii="Arial" w:hAnsi="Arial" w:cs="Arial"/>
        </w:rPr>
        <w:br/>
        <w:t>Sur le moyen unique de cassation, pris de la violation des articles L. 573-1 et L. 573-</w:t>
      </w:r>
      <w:r w:rsidRPr="00DF792A">
        <w:rPr>
          <w:rFonts w:ascii="Arial" w:hAnsi="Arial" w:cs="Arial"/>
        </w:rPr>
        <w:lastRenderedPageBreak/>
        <w:t>7 du code monétaire et financier et 591 du code de procédure pénale :</w:t>
      </w:r>
      <w:r w:rsidRPr="00DF792A">
        <w:rPr>
          <w:rFonts w:ascii="Arial" w:hAnsi="Arial" w:cs="Arial"/>
        </w:rPr>
        <w:br/>
      </w:r>
      <w:r w:rsidRPr="00DF792A">
        <w:rPr>
          <w:rFonts w:ascii="Arial" w:hAnsi="Arial" w:cs="Arial"/>
        </w:rPr>
        <w:br/>
        <w:t>Attendu qu'il résulte de l'arrêt attaqué et des pièces de procédure que la société Euroland finance (Euroland) et son ..., M. Z... M..., ont signé, en 2004, avec la société Prologue Software (Prologue) un mandat de conseil pour la réalisation d'une opération d'augmentation de capital de cette dernière société, portant sur dix millions d'euros, opération qui s'est déroulée en août et septembre 2004 ; qu'à l'époque des faits, l'agrément dont disposait la société Euroland était limité à la fourniture des services de réception, transmission et exécution d'ordres pour compte de tiers, mais ne s'étendait pas à l'activité de service de placement ; qu'il a été constaté par l'Autorité des marchés financiers que la société Euroland ne s'était pas contentée d'une simple activité de mise en relation ou d'entremise, mais avait effectué des démarches de recherche d'investisseurs ; que l'Autorité des marchés financiers ayant dénoncé ces faits au parquet, une information judiciaire a été ouverte, à l'issue de laquelle la société Euroland et M. M... ont été renvoyés devant le tribunal correctionnel pour avoir fourni des services d'investissement à des tiers à titre de profession habituelle sans y avoir été autorisés dans les conditions prévues à l'article L. 532-1 ou sans figurer au nombre des personnes mentionnées à l'article 531-2 du code monétaire et financier, en l'espèce en démarchant des investisseurs dans le cadre de la réalisation de l'augmentation de capital de la société Prologue Software ; que par jugement du 23 novembre 2015, le tribunal correctionnel a déclaré la société Euroland et M. M... coupables de l'infraction reprochée ; que les prévenus et le ministère public ont relevé appel de cette décision ;</w:t>
      </w:r>
      <w:r w:rsidRPr="00DF792A">
        <w:rPr>
          <w:rFonts w:ascii="Arial" w:hAnsi="Arial" w:cs="Arial"/>
        </w:rPr>
        <w:br/>
      </w:r>
      <w:r w:rsidRPr="00DF792A">
        <w:rPr>
          <w:rFonts w:ascii="Arial" w:hAnsi="Arial" w:cs="Arial"/>
        </w:rPr>
        <w:br/>
        <w:t xml:space="preserve">Attendu que pour relaxer la société Euroland et M. M..., la cour d'appel énonce notamment que </w:t>
      </w:r>
      <w:proofErr w:type="spellStart"/>
      <w:r w:rsidRPr="00DF792A">
        <w:rPr>
          <w:rFonts w:ascii="Arial" w:hAnsi="Arial" w:cs="Arial"/>
        </w:rPr>
        <w:t>Ie</w:t>
      </w:r>
      <w:proofErr w:type="spellEnd"/>
      <w:r w:rsidRPr="00DF792A">
        <w:rPr>
          <w:rFonts w:ascii="Arial" w:hAnsi="Arial" w:cs="Arial"/>
        </w:rPr>
        <w:t xml:space="preserve"> délit de fourniture illégale d'un service d'investissement à des tiers nécessite qu'il soit établi que cette activité était exercée à titre de profession habituelle, et que si le mandat liant la société Euroland et la société Prologue prévoyait une rémunération de la première par la seconde, la prévention ne vise qu'une seule opération, celle consistant en la recherche d'investisseurs dans le cadre de l'augmentation du capital social de la société Prologue, opération qui ne concernait qu'un seul client, à savoir cette dernière, pour le compte de laquelle la société Euroland avait mandat, les souscripteurs au capital ne pouvant être considérés comme des clients de la société Euroland dans le cadre de cette opération ; que les juges relèvent qu'ainsi, le seul démarchage de souscripteurs dans le cadre de l'augmentation de capital de la société Prologue ne peut constituer la circonstance de profession habituelle exigée par le texte d'incrimination ;</w:t>
      </w:r>
      <w:r w:rsidRPr="00DF792A">
        <w:rPr>
          <w:rFonts w:ascii="Arial" w:hAnsi="Arial" w:cs="Arial"/>
        </w:rPr>
        <w:br/>
      </w:r>
      <w:r w:rsidRPr="00DF792A">
        <w:rPr>
          <w:rFonts w:ascii="Arial" w:hAnsi="Arial" w:cs="Arial"/>
        </w:rPr>
        <w:br/>
        <w:t>Attendu qu'en statuant ainsi, et dès lors qu'une seule opération de démarchage d'investisseurs au profit d'un client unique, en exécution d'un mandat unique, ne peut caractériser l'exercice d'une profession habituelle, la cour d'appel a justifié sa décision ;</w:t>
      </w:r>
      <w:r w:rsidRPr="00DF792A">
        <w:rPr>
          <w:rFonts w:ascii="Arial" w:hAnsi="Arial" w:cs="Arial"/>
        </w:rPr>
        <w:br/>
      </w:r>
      <w:r w:rsidRPr="00DF792A">
        <w:rPr>
          <w:rFonts w:ascii="Arial" w:hAnsi="Arial" w:cs="Arial"/>
        </w:rPr>
        <w:br/>
        <w:t>D'où il suit que le moyen doit être écarté ;</w:t>
      </w:r>
      <w:r w:rsidRPr="00DF792A">
        <w:rPr>
          <w:rFonts w:ascii="Arial" w:hAnsi="Arial" w:cs="Arial"/>
        </w:rPr>
        <w:br/>
      </w:r>
      <w:r w:rsidRPr="00DF792A">
        <w:rPr>
          <w:rFonts w:ascii="Arial" w:hAnsi="Arial" w:cs="Arial"/>
        </w:rPr>
        <w:br/>
        <w:t>Et attendu que l'arrêt est régulier en la forme ;</w:t>
      </w:r>
      <w:r w:rsidRPr="00DF792A">
        <w:rPr>
          <w:rFonts w:ascii="Arial" w:hAnsi="Arial" w:cs="Arial"/>
        </w:rPr>
        <w:br/>
      </w:r>
      <w:r w:rsidRPr="00DF792A">
        <w:rPr>
          <w:rFonts w:ascii="Arial" w:hAnsi="Arial" w:cs="Arial"/>
        </w:rPr>
        <w:br/>
        <w:t>REJETTE le pourvoi ;</w:t>
      </w:r>
    </w:p>
    <w:p w14:paraId="68003277" w14:textId="77777777" w:rsidR="00DF792A" w:rsidRPr="00DF792A" w:rsidRDefault="00DF792A" w:rsidP="00DF792A">
      <w:pPr>
        <w:spacing w:after="160" w:line="259" w:lineRule="auto"/>
        <w:jc w:val="both"/>
        <w:rPr>
          <w:rFonts w:ascii="Arial" w:hAnsi="Arial" w:cs="Arial"/>
        </w:rPr>
      </w:pPr>
    </w:p>
    <w:p w14:paraId="6A9CEE46" w14:textId="77777777" w:rsidR="00DF792A" w:rsidRPr="00DF792A" w:rsidRDefault="00DF792A" w:rsidP="00DF792A">
      <w:pPr>
        <w:spacing w:after="160" w:line="259" w:lineRule="auto"/>
        <w:jc w:val="both"/>
        <w:rPr>
          <w:rFonts w:ascii="Arial" w:hAnsi="Arial" w:cs="Arial"/>
        </w:rPr>
      </w:pPr>
      <w:r w:rsidRPr="00DF792A">
        <w:rPr>
          <w:rFonts w:ascii="Arial" w:hAnsi="Arial" w:cs="Arial"/>
          <w:b/>
          <w:bCs/>
        </w:rPr>
        <w:lastRenderedPageBreak/>
        <w:t>NOTA BENE à l’attention des étudiants</w:t>
      </w:r>
      <w:r w:rsidRPr="00DF792A">
        <w:rPr>
          <w:rFonts w:ascii="Arial" w:hAnsi="Arial" w:cs="Arial"/>
        </w:rPr>
        <w:t> : Pour indication, le démarchage financier est une activité ou action (vue avec méfiance par la loi) consistant à solliciter à domicile (ou, sauf exception, dans un lieu public) l’achat ou la souscription de valeurs mobilières (capitaux). (</w:t>
      </w:r>
      <w:r w:rsidRPr="00DF792A">
        <w:rPr>
          <w:rFonts w:ascii="Arial" w:hAnsi="Arial" w:cs="Arial"/>
          <w:i/>
          <w:iCs/>
        </w:rPr>
        <w:t>Source :</w:t>
      </w:r>
      <w:r w:rsidRPr="00DF792A">
        <w:rPr>
          <w:rFonts w:ascii="Arial" w:hAnsi="Arial" w:cs="Arial"/>
        </w:rPr>
        <w:t xml:space="preserve"> G. CORNU et Association Henri Capitant (</w:t>
      </w:r>
      <w:proofErr w:type="spellStart"/>
      <w:r w:rsidRPr="00DF792A">
        <w:rPr>
          <w:rFonts w:ascii="Arial" w:hAnsi="Arial" w:cs="Arial"/>
        </w:rPr>
        <w:t>Dir</w:t>
      </w:r>
      <w:proofErr w:type="spellEnd"/>
      <w:r w:rsidRPr="00DF792A">
        <w:rPr>
          <w:rFonts w:ascii="Arial" w:hAnsi="Arial" w:cs="Arial"/>
        </w:rPr>
        <w:t xml:space="preserve">), </w:t>
      </w:r>
      <w:r w:rsidRPr="00DF792A">
        <w:rPr>
          <w:rFonts w:ascii="Arial" w:hAnsi="Arial" w:cs="Arial"/>
          <w:i/>
          <w:iCs/>
        </w:rPr>
        <w:t>Vocabulaire juridique</w:t>
      </w:r>
      <w:r>
        <w:rPr>
          <w:rFonts w:ascii="Arial" w:hAnsi="Arial" w:cs="Arial"/>
        </w:rPr>
        <w:t>, PUF, Quadrige, 2014, p. 322).</w:t>
      </w:r>
    </w:p>
    <w:p w14:paraId="216DD49D" w14:textId="77777777" w:rsidR="00DF792A" w:rsidRPr="00DF792A" w:rsidRDefault="00DF792A" w:rsidP="00DF792A">
      <w:pPr>
        <w:spacing w:after="160" w:line="259" w:lineRule="auto"/>
        <w:jc w:val="both"/>
        <w:rPr>
          <w:rFonts w:ascii="Arial" w:hAnsi="Arial" w:cs="Arial"/>
        </w:rPr>
      </w:pPr>
    </w:p>
    <w:p w14:paraId="0D825511" w14:textId="77777777" w:rsidR="00DF792A" w:rsidRPr="00DF792A" w:rsidRDefault="00DF792A" w:rsidP="00DF792A">
      <w:pPr>
        <w:jc w:val="both"/>
        <w:rPr>
          <w:rFonts w:ascii="Arial" w:hAnsi="Arial" w:cs="Arial"/>
        </w:rPr>
      </w:pPr>
    </w:p>
    <w:p w14:paraId="5C063255" w14:textId="77777777" w:rsidR="00DF792A" w:rsidRPr="00DF792A" w:rsidRDefault="00DF792A" w:rsidP="00DF792A">
      <w:pPr>
        <w:jc w:val="center"/>
        <w:rPr>
          <w:rFonts w:ascii="Arial" w:hAnsi="Arial" w:cs="Arial"/>
        </w:rPr>
      </w:pPr>
      <w:r w:rsidRPr="00DF792A">
        <w:rPr>
          <w:rFonts w:ascii="Arial" w:hAnsi="Arial" w:cs="Arial"/>
          <w:b/>
          <w:bCs/>
          <w:u w:val="single"/>
        </w:rPr>
        <w:t>Questions</w:t>
      </w:r>
      <w:r w:rsidRPr="00DF792A">
        <w:rPr>
          <w:rFonts w:ascii="Arial" w:hAnsi="Arial" w:cs="Arial"/>
        </w:rPr>
        <w:t> :</w:t>
      </w:r>
    </w:p>
    <w:p w14:paraId="74C5D9D1" w14:textId="77777777" w:rsidR="00DF792A" w:rsidRPr="00DF792A" w:rsidRDefault="00DF792A" w:rsidP="00DF792A">
      <w:pPr>
        <w:jc w:val="both"/>
        <w:rPr>
          <w:rFonts w:ascii="Arial" w:hAnsi="Arial" w:cs="Arial"/>
        </w:rPr>
      </w:pPr>
    </w:p>
    <w:p w14:paraId="65421931" w14:textId="77777777" w:rsidR="00DF792A" w:rsidRPr="00DF792A" w:rsidRDefault="00DF792A" w:rsidP="00DF792A">
      <w:pPr>
        <w:spacing w:before="240"/>
        <w:jc w:val="both"/>
        <w:rPr>
          <w:rFonts w:ascii="Arial" w:hAnsi="Arial" w:cs="Arial"/>
        </w:rPr>
      </w:pPr>
      <w:r w:rsidRPr="00DF792A">
        <w:rPr>
          <w:rFonts w:ascii="Arial" w:hAnsi="Arial" w:cs="Arial"/>
        </w:rPr>
        <w:t>1) Réalisez la fiche d’arrêt de la décision reproduite (présentation de l’arrêt/faits/procédure/moyens-prétentions des parties/problème de droit/solution) (/7)</w:t>
      </w:r>
    </w:p>
    <w:p w14:paraId="33CD46CA" w14:textId="77777777" w:rsidR="00DF792A" w:rsidRPr="00DF792A" w:rsidRDefault="00DF792A" w:rsidP="00DF792A">
      <w:pPr>
        <w:spacing w:before="240"/>
        <w:jc w:val="both"/>
        <w:rPr>
          <w:rFonts w:ascii="Arial" w:hAnsi="Arial" w:cs="Arial"/>
        </w:rPr>
      </w:pPr>
      <w:r w:rsidRPr="00DF792A">
        <w:rPr>
          <w:rFonts w:ascii="Arial" w:hAnsi="Arial" w:cs="Arial"/>
        </w:rPr>
        <w:t>2) Quelle était l’infraction fondant les poursuites ? (/1)</w:t>
      </w:r>
    </w:p>
    <w:p w14:paraId="652192FD" w14:textId="77777777" w:rsidR="00DF792A" w:rsidRPr="00DF792A" w:rsidRDefault="00DF792A" w:rsidP="00DF792A">
      <w:pPr>
        <w:spacing w:before="240"/>
        <w:jc w:val="both"/>
        <w:rPr>
          <w:rFonts w:ascii="Arial" w:hAnsi="Arial" w:cs="Arial"/>
        </w:rPr>
      </w:pPr>
      <w:r w:rsidRPr="00DF792A">
        <w:rPr>
          <w:rFonts w:ascii="Arial" w:hAnsi="Arial" w:cs="Arial"/>
        </w:rPr>
        <w:t>3) Quelle est la nature de cette infraction prévue à l’article L. 573-1 du Code monétaire et financier (cf. Annexes) au regard de la classification légale des infractions ? Justifiez votre réponse par un syllogisme. (/1)</w:t>
      </w:r>
    </w:p>
    <w:p w14:paraId="5410EB6B" w14:textId="77777777" w:rsidR="00DF792A" w:rsidRPr="00DF792A" w:rsidRDefault="00DF792A" w:rsidP="00DF792A">
      <w:pPr>
        <w:spacing w:before="240"/>
        <w:jc w:val="both"/>
        <w:rPr>
          <w:rFonts w:ascii="Arial" w:hAnsi="Arial" w:cs="Arial"/>
        </w:rPr>
      </w:pPr>
      <w:r w:rsidRPr="00DF792A">
        <w:rPr>
          <w:rFonts w:ascii="Arial" w:hAnsi="Arial" w:cs="Arial"/>
        </w:rPr>
        <w:t>4) Quelle est la spécificité de cette infraction quant à son élément matériel ? Par conséquent, de quel type d’infraction s’agit-il ? (/2)</w:t>
      </w:r>
    </w:p>
    <w:p w14:paraId="28245D36" w14:textId="77777777" w:rsidR="00DF792A" w:rsidRPr="00DF792A" w:rsidRDefault="00DF792A" w:rsidP="00DF792A">
      <w:pPr>
        <w:spacing w:before="240"/>
        <w:jc w:val="both"/>
        <w:rPr>
          <w:rFonts w:ascii="Arial" w:hAnsi="Arial" w:cs="Arial"/>
        </w:rPr>
      </w:pPr>
      <w:r w:rsidRPr="00DF792A">
        <w:rPr>
          <w:rFonts w:ascii="Arial" w:hAnsi="Arial" w:cs="Arial"/>
        </w:rPr>
        <w:t>5) Expliquez la solution de la chambre criminelle de la Cour de cassation et sa portée (/2).</w:t>
      </w:r>
    </w:p>
    <w:p w14:paraId="1618A554" w14:textId="77777777" w:rsidR="00DF792A" w:rsidRPr="00DF792A" w:rsidRDefault="00DF792A" w:rsidP="00DF792A">
      <w:pPr>
        <w:spacing w:before="240"/>
        <w:jc w:val="both"/>
        <w:rPr>
          <w:rFonts w:ascii="Arial" w:hAnsi="Arial" w:cs="Arial"/>
        </w:rPr>
      </w:pPr>
      <w:r w:rsidRPr="00DF792A">
        <w:rPr>
          <w:rFonts w:ascii="Arial" w:hAnsi="Arial" w:cs="Arial"/>
        </w:rPr>
        <w:t>6) Pensez-vous que la solution aurait été différente si la Société Euroland avait eu deux clients ? Justifiez votre réponse. (/1)</w:t>
      </w:r>
    </w:p>
    <w:p w14:paraId="4A8B50A5" w14:textId="77777777" w:rsidR="00DF792A" w:rsidRPr="00DF792A" w:rsidRDefault="00DF792A" w:rsidP="00DF792A">
      <w:pPr>
        <w:spacing w:before="240"/>
        <w:jc w:val="both"/>
        <w:rPr>
          <w:rFonts w:ascii="Arial" w:hAnsi="Arial" w:cs="Arial"/>
        </w:rPr>
      </w:pPr>
      <w:r w:rsidRPr="00DF792A">
        <w:rPr>
          <w:rFonts w:ascii="Arial" w:hAnsi="Arial" w:cs="Arial"/>
        </w:rPr>
        <w:t xml:space="preserve">7) Que prévoit l’article L. 531-2 du Code monétaire et financier (cf. Annexes) et quel est son effet sur l’incrimination prévue à l’article L. 573-1 du même code ? (/2) </w:t>
      </w:r>
    </w:p>
    <w:p w14:paraId="5DA1AE92" w14:textId="77777777" w:rsidR="00DF792A" w:rsidRPr="00DF792A" w:rsidRDefault="00DF792A" w:rsidP="00DF792A">
      <w:pPr>
        <w:spacing w:before="240"/>
        <w:jc w:val="both"/>
        <w:rPr>
          <w:rFonts w:ascii="Arial" w:hAnsi="Arial" w:cs="Arial"/>
        </w:rPr>
      </w:pPr>
      <w:r w:rsidRPr="00DF792A">
        <w:rPr>
          <w:rFonts w:ascii="Arial" w:hAnsi="Arial" w:cs="Arial"/>
        </w:rPr>
        <w:t>8) Si la société Euroland était une société d’assurance et qu’elle avait démarché plusieurs clients à plusieurs reprises, pensez-vous qu’elle aurait pu engager sa responsabilité pénale sur le fondement de l’article L. 573-1 du Code monétaire et financier ? Justifiez votre réponse. (/1)</w:t>
      </w:r>
    </w:p>
    <w:p w14:paraId="1EB2EEB5" w14:textId="77777777" w:rsidR="00DF792A" w:rsidRPr="00DF792A" w:rsidRDefault="00DF792A" w:rsidP="00DF792A">
      <w:pPr>
        <w:spacing w:before="240"/>
        <w:jc w:val="both"/>
        <w:rPr>
          <w:rFonts w:ascii="Arial" w:hAnsi="Arial" w:cs="Arial"/>
        </w:rPr>
      </w:pPr>
      <w:r w:rsidRPr="00DF792A">
        <w:rPr>
          <w:rFonts w:ascii="Arial" w:hAnsi="Arial" w:cs="Arial"/>
        </w:rPr>
        <w:t>9) Rappelez le fondement juridique et les conditions de la responsabilité pénale des personnes morales. (/3)</w:t>
      </w:r>
    </w:p>
    <w:p w14:paraId="517C5D29" w14:textId="77777777" w:rsidR="00DF792A" w:rsidRPr="00DF792A" w:rsidRDefault="00DF792A" w:rsidP="00DF792A">
      <w:pPr>
        <w:spacing w:after="160" w:line="259" w:lineRule="auto"/>
        <w:jc w:val="both"/>
        <w:rPr>
          <w:rFonts w:ascii="Arial" w:hAnsi="Arial" w:cs="Arial"/>
        </w:rPr>
      </w:pPr>
      <w:r w:rsidRPr="00DF792A">
        <w:rPr>
          <w:rFonts w:ascii="Arial" w:hAnsi="Arial" w:cs="Arial"/>
        </w:rPr>
        <w:br w:type="page"/>
      </w:r>
    </w:p>
    <w:p w14:paraId="2B0ECBB5" w14:textId="77777777" w:rsidR="00DF792A" w:rsidRPr="00DF792A" w:rsidRDefault="00DF792A" w:rsidP="00DF792A">
      <w:pPr>
        <w:jc w:val="both"/>
        <w:rPr>
          <w:rFonts w:ascii="Arial" w:hAnsi="Arial" w:cs="Arial"/>
        </w:rPr>
      </w:pPr>
    </w:p>
    <w:p w14:paraId="71A9A21D" w14:textId="77777777" w:rsidR="00DF792A" w:rsidRPr="00DF792A" w:rsidRDefault="00DF792A" w:rsidP="00DF792A">
      <w:pPr>
        <w:jc w:val="center"/>
        <w:rPr>
          <w:rFonts w:ascii="Arial" w:hAnsi="Arial" w:cs="Arial"/>
        </w:rPr>
      </w:pPr>
      <w:r w:rsidRPr="00DF792A">
        <w:rPr>
          <w:rFonts w:ascii="Arial" w:hAnsi="Arial" w:cs="Arial"/>
          <w:b/>
          <w:bCs/>
          <w:i/>
          <w:iCs/>
          <w:u w:val="single"/>
        </w:rPr>
        <w:t>Annexes</w:t>
      </w:r>
      <w:r w:rsidRPr="00DF792A">
        <w:rPr>
          <w:rFonts w:ascii="Arial" w:hAnsi="Arial" w:cs="Arial"/>
        </w:rPr>
        <w:t> :</w:t>
      </w:r>
    </w:p>
    <w:p w14:paraId="13BD17B1" w14:textId="77777777" w:rsidR="00DF792A" w:rsidRPr="00DF792A" w:rsidRDefault="00DF792A" w:rsidP="00DF792A">
      <w:pPr>
        <w:jc w:val="both"/>
        <w:rPr>
          <w:rFonts w:ascii="Arial" w:hAnsi="Arial" w:cs="Arial"/>
        </w:rPr>
      </w:pPr>
    </w:p>
    <w:p w14:paraId="58429D2B" w14:textId="77777777" w:rsidR="00DF792A" w:rsidRPr="00DF792A" w:rsidRDefault="00DF792A" w:rsidP="00DF792A">
      <w:pPr>
        <w:jc w:val="both"/>
        <w:rPr>
          <w:rFonts w:ascii="Arial" w:hAnsi="Arial" w:cs="Arial"/>
        </w:rPr>
      </w:pPr>
    </w:p>
    <w:p w14:paraId="0E94597C" w14:textId="77777777" w:rsidR="00DF792A" w:rsidRPr="00DF792A" w:rsidRDefault="00DF792A" w:rsidP="00DF792A">
      <w:pPr>
        <w:jc w:val="both"/>
        <w:rPr>
          <w:rFonts w:ascii="Arial" w:hAnsi="Arial" w:cs="Arial"/>
        </w:rPr>
      </w:pPr>
      <w:r w:rsidRPr="00DF792A">
        <w:rPr>
          <w:rFonts w:ascii="Arial" w:hAnsi="Arial" w:cs="Arial"/>
          <w:b/>
          <w:bCs/>
          <w:i/>
          <w:iCs/>
        </w:rPr>
        <w:t xml:space="preserve">Article L. 573-1 du C. mon. </w:t>
      </w:r>
      <w:proofErr w:type="gramStart"/>
      <w:r w:rsidRPr="00DF792A">
        <w:rPr>
          <w:rFonts w:ascii="Arial" w:hAnsi="Arial" w:cs="Arial"/>
          <w:b/>
          <w:bCs/>
          <w:i/>
          <w:iCs/>
        </w:rPr>
        <w:t>fin</w:t>
      </w:r>
      <w:proofErr w:type="gramEnd"/>
      <w:r w:rsidRPr="00DF792A">
        <w:rPr>
          <w:rFonts w:ascii="Arial" w:hAnsi="Arial" w:cs="Arial"/>
          <w:b/>
          <w:bCs/>
          <w:i/>
          <w:iCs/>
        </w:rPr>
        <w:t>.</w:t>
      </w:r>
      <w:r w:rsidRPr="00DF792A">
        <w:rPr>
          <w:rFonts w:ascii="Arial" w:hAnsi="Arial" w:cs="Arial"/>
        </w:rPr>
        <w:t xml:space="preserve"> (</w:t>
      </w:r>
      <w:r w:rsidRPr="00DF792A">
        <w:rPr>
          <w:rFonts w:ascii="Arial" w:hAnsi="Arial" w:cs="Arial"/>
          <w:i/>
          <w:iCs/>
        </w:rPr>
        <w:t>Modifié par Ordonnance n°2017-1107 du 22 juin 2017 - art. 10) :</w:t>
      </w:r>
      <w:r w:rsidRPr="00DF792A">
        <w:rPr>
          <w:rFonts w:ascii="Arial" w:hAnsi="Arial" w:cs="Arial"/>
        </w:rPr>
        <w:t xml:space="preserve"> </w:t>
      </w:r>
    </w:p>
    <w:p w14:paraId="6C399BDF" w14:textId="77777777" w:rsidR="00DF792A" w:rsidRPr="00DF792A" w:rsidRDefault="00DF792A" w:rsidP="00DF792A">
      <w:pPr>
        <w:jc w:val="both"/>
        <w:rPr>
          <w:rFonts w:ascii="Arial" w:hAnsi="Arial" w:cs="Arial"/>
        </w:rPr>
      </w:pPr>
      <w:r w:rsidRPr="00DF792A">
        <w:rPr>
          <w:rFonts w:ascii="Arial" w:hAnsi="Arial" w:cs="Arial"/>
        </w:rPr>
        <w:t>« I. -</w:t>
      </w:r>
      <w:r w:rsidRPr="00DF792A">
        <w:rPr>
          <w:rFonts w:ascii="Arial" w:hAnsi="Arial" w:cs="Arial"/>
          <w:i/>
          <w:iCs/>
        </w:rPr>
        <w:t>Est puni de trois ans d'emprisonnement et de 375 000 euros d'amende le fait, pour toute personne physique, de fournir des services d'investissement à des tiers à titre de profession habituelle sans y avoir été autorisée dans les conditions prévues aux articles L. 532-1 et L. 532-48 ou sans figurer au nombre des personnes mentionnées à l'article L. 531-2. (…)</w:t>
      </w:r>
      <w:r w:rsidRPr="00DF792A">
        <w:rPr>
          <w:rFonts w:ascii="Arial" w:hAnsi="Arial" w:cs="Arial"/>
        </w:rPr>
        <w:t> »</w:t>
      </w:r>
    </w:p>
    <w:p w14:paraId="791DB232" w14:textId="77777777" w:rsidR="00DF792A" w:rsidRPr="00DF792A" w:rsidRDefault="00DF792A" w:rsidP="00DF792A">
      <w:pPr>
        <w:jc w:val="both"/>
        <w:rPr>
          <w:rFonts w:ascii="Arial" w:hAnsi="Arial" w:cs="Arial"/>
        </w:rPr>
      </w:pPr>
    </w:p>
    <w:p w14:paraId="034A0F7F" w14:textId="77777777" w:rsidR="00DF792A" w:rsidRPr="00DF792A" w:rsidRDefault="00DF792A" w:rsidP="00DF792A">
      <w:pPr>
        <w:jc w:val="both"/>
        <w:rPr>
          <w:rFonts w:ascii="Arial" w:hAnsi="Arial" w:cs="Arial"/>
          <w:i/>
          <w:iCs/>
        </w:rPr>
      </w:pPr>
      <w:r w:rsidRPr="00DF792A">
        <w:rPr>
          <w:rFonts w:ascii="Arial" w:hAnsi="Arial" w:cs="Arial"/>
          <w:b/>
          <w:bCs/>
          <w:i/>
          <w:iCs/>
        </w:rPr>
        <w:t>Article L. 573-7</w:t>
      </w:r>
      <w:r w:rsidRPr="00DF792A">
        <w:rPr>
          <w:rFonts w:ascii="Arial" w:hAnsi="Arial" w:cs="Arial"/>
          <w:i/>
          <w:iCs/>
        </w:rPr>
        <w:t xml:space="preserve"> </w:t>
      </w:r>
      <w:r w:rsidRPr="00DF792A">
        <w:rPr>
          <w:rFonts w:ascii="Arial" w:hAnsi="Arial" w:cs="Arial"/>
          <w:b/>
          <w:bCs/>
          <w:i/>
          <w:iCs/>
        </w:rPr>
        <w:t xml:space="preserve">du C. mon. </w:t>
      </w:r>
      <w:proofErr w:type="gramStart"/>
      <w:r w:rsidRPr="00DF792A">
        <w:rPr>
          <w:rFonts w:ascii="Arial" w:hAnsi="Arial" w:cs="Arial"/>
          <w:b/>
          <w:bCs/>
          <w:i/>
          <w:iCs/>
        </w:rPr>
        <w:t>fin</w:t>
      </w:r>
      <w:proofErr w:type="gramEnd"/>
      <w:r w:rsidRPr="00DF792A">
        <w:rPr>
          <w:rFonts w:ascii="Arial" w:hAnsi="Arial" w:cs="Arial"/>
          <w:b/>
          <w:bCs/>
          <w:i/>
          <w:iCs/>
        </w:rPr>
        <w:t>.</w:t>
      </w:r>
      <w:r w:rsidRPr="00DF792A">
        <w:rPr>
          <w:rFonts w:ascii="Arial" w:hAnsi="Arial" w:cs="Arial"/>
          <w:i/>
          <w:iCs/>
        </w:rPr>
        <w:t xml:space="preserve"> (Modifié par LOI n°2009-526 du 12 mai 2009 - art. 125) : </w:t>
      </w:r>
    </w:p>
    <w:p w14:paraId="4B411AD5" w14:textId="77777777" w:rsidR="00DF792A" w:rsidRPr="00DF792A" w:rsidRDefault="00DF792A" w:rsidP="00DF792A">
      <w:pPr>
        <w:jc w:val="both"/>
        <w:rPr>
          <w:rFonts w:ascii="Arial" w:hAnsi="Arial" w:cs="Arial"/>
          <w:i/>
          <w:iCs/>
        </w:rPr>
      </w:pPr>
      <w:r w:rsidRPr="00DF792A">
        <w:rPr>
          <w:rFonts w:ascii="Arial" w:hAnsi="Arial" w:cs="Arial"/>
        </w:rPr>
        <w:t>« </w:t>
      </w:r>
      <w:r w:rsidRPr="00DF792A">
        <w:rPr>
          <w:rFonts w:ascii="Arial" w:hAnsi="Arial" w:cs="Arial"/>
          <w:i/>
          <w:iCs/>
        </w:rPr>
        <w:t>Les personnes morales déclarées responsables pénalement, dans les conditions prévues par l'article 121-2 du code pénal, des infractions définies aux articles L. 573-1 à L. 573-6 encourent, outre l'amende suivant les modalités prévues par l'article 131-38 du code pénal, les peines prévues par l'article 131-39 du même code (…)</w:t>
      </w:r>
      <w:r w:rsidRPr="00DF792A">
        <w:rPr>
          <w:rFonts w:ascii="Arial" w:hAnsi="Arial" w:cs="Arial"/>
        </w:rPr>
        <w:t> »</w:t>
      </w:r>
    </w:p>
    <w:p w14:paraId="1BAF30DB" w14:textId="77777777" w:rsidR="00DF792A" w:rsidRPr="00DF792A" w:rsidRDefault="00DF792A" w:rsidP="00DF792A">
      <w:pPr>
        <w:jc w:val="both"/>
        <w:rPr>
          <w:rFonts w:ascii="Arial" w:hAnsi="Arial" w:cs="Arial"/>
        </w:rPr>
      </w:pPr>
    </w:p>
    <w:p w14:paraId="2AF1F303" w14:textId="77777777" w:rsidR="00DF792A" w:rsidRPr="00DF792A" w:rsidRDefault="00DF792A" w:rsidP="00DF792A">
      <w:pPr>
        <w:jc w:val="both"/>
        <w:rPr>
          <w:rFonts w:ascii="Arial" w:hAnsi="Arial" w:cs="Arial"/>
          <w:i/>
          <w:iCs/>
        </w:rPr>
      </w:pPr>
      <w:r w:rsidRPr="00DF792A">
        <w:rPr>
          <w:rFonts w:ascii="Arial" w:hAnsi="Arial" w:cs="Arial"/>
          <w:b/>
          <w:bCs/>
          <w:i/>
          <w:iCs/>
        </w:rPr>
        <w:t>Article L. 531-2</w:t>
      </w:r>
      <w:r w:rsidRPr="00DF792A">
        <w:rPr>
          <w:rFonts w:ascii="Arial" w:hAnsi="Arial" w:cs="Arial"/>
          <w:i/>
          <w:iCs/>
        </w:rPr>
        <w:t xml:space="preserve"> </w:t>
      </w:r>
      <w:r w:rsidRPr="00DF792A">
        <w:rPr>
          <w:rFonts w:ascii="Arial" w:hAnsi="Arial" w:cs="Arial"/>
          <w:b/>
          <w:bCs/>
          <w:i/>
          <w:iCs/>
        </w:rPr>
        <w:t xml:space="preserve">du C. mon. </w:t>
      </w:r>
      <w:proofErr w:type="gramStart"/>
      <w:r w:rsidRPr="00DF792A">
        <w:rPr>
          <w:rFonts w:ascii="Arial" w:hAnsi="Arial" w:cs="Arial"/>
          <w:b/>
          <w:bCs/>
          <w:i/>
          <w:iCs/>
        </w:rPr>
        <w:t>fin</w:t>
      </w:r>
      <w:proofErr w:type="gramEnd"/>
      <w:r w:rsidRPr="00DF792A">
        <w:rPr>
          <w:rFonts w:ascii="Arial" w:hAnsi="Arial" w:cs="Arial"/>
          <w:b/>
          <w:bCs/>
          <w:i/>
          <w:iCs/>
        </w:rPr>
        <w:t>.</w:t>
      </w:r>
      <w:r w:rsidRPr="00DF792A">
        <w:rPr>
          <w:rFonts w:ascii="Arial" w:hAnsi="Arial" w:cs="Arial"/>
          <w:i/>
          <w:iCs/>
        </w:rPr>
        <w:t xml:space="preserve"> (Modifié par Ordonnance n°2017-1107 du 22 juin 2017 - art. 6)</w:t>
      </w:r>
    </w:p>
    <w:p w14:paraId="1F048F6F" w14:textId="77777777" w:rsidR="00DF792A" w:rsidRPr="00DF792A" w:rsidRDefault="00DF792A" w:rsidP="00DF792A">
      <w:pPr>
        <w:jc w:val="both"/>
        <w:rPr>
          <w:rFonts w:ascii="Arial" w:hAnsi="Arial" w:cs="Arial"/>
        </w:rPr>
      </w:pPr>
    </w:p>
    <w:p w14:paraId="0CFF6AE5" w14:textId="77777777" w:rsidR="00DF792A" w:rsidRPr="00DF792A" w:rsidRDefault="00DF792A" w:rsidP="00DF792A">
      <w:pPr>
        <w:jc w:val="both"/>
        <w:rPr>
          <w:rFonts w:ascii="Arial" w:hAnsi="Arial" w:cs="Arial"/>
        </w:rPr>
      </w:pPr>
      <w:r w:rsidRPr="00DF792A">
        <w:rPr>
          <w:rFonts w:ascii="Arial" w:hAnsi="Arial" w:cs="Arial"/>
        </w:rPr>
        <w:t>« </w:t>
      </w:r>
      <w:r w:rsidRPr="00DF792A">
        <w:rPr>
          <w:rFonts w:ascii="Arial" w:hAnsi="Arial" w:cs="Arial"/>
          <w:i/>
          <w:iCs/>
          <w:u w:val="single"/>
        </w:rPr>
        <w:t>Peuvent fournir des services d'investissement dans les limites des dispositions législatives qui</w:t>
      </w:r>
      <w:r w:rsidRPr="00DF792A">
        <w:rPr>
          <w:rFonts w:ascii="Arial" w:hAnsi="Arial" w:cs="Arial"/>
          <w:i/>
          <w:iCs/>
        </w:rPr>
        <w:t>, le cas échéant, les régissent, sans être soumis à la procédure d'agrément prévue à l'article L. 532-1 mais sans pouvoir prétendre au bénéfice des dispositions des articles L. 532-16 à L. 532-27</w:t>
      </w:r>
      <w:r w:rsidRPr="00DF792A">
        <w:rPr>
          <w:rFonts w:ascii="Arial" w:hAnsi="Arial" w:cs="Arial"/>
        </w:rPr>
        <w:t xml:space="preserve"> :</w:t>
      </w:r>
    </w:p>
    <w:p w14:paraId="3DB4974D" w14:textId="77777777" w:rsidR="00DF792A" w:rsidRPr="00DF792A" w:rsidRDefault="00DF792A" w:rsidP="00DF792A">
      <w:pPr>
        <w:jc w:val="both"/>
        <w:rPr>
          <w:rFonts w:ascii="Arial" w:hAnsi="Arial" w:cs="Arial"/>
        </w:rPr>
      </w:pPr>
    </w:p>
    <w:p w14:paraId="541D4315" w14:textId="77777777" w:rsidR="00DF792A" w:rsidRPr="00DF792A" w:rsidRDefault="00DF792A" w:rsidP="00DF792A">
      <w:pPr>
        <w:jc w:val="both"/>
        <w:rPr>
          <w:rFonts w:ascii="Arial" w:hAnsi="Arial" w:cs="Arial"/>
          <w:i/>
          <w:iCs/>
        </w:rPr>
      </w:pPr>
      <w:r w:rsidRPr="00DF792A">
        <w:rPr>
          <w:rFonts w:ascii="Arial" w:hAnsi="Arial" w:cs="Arial"/>
          <w:i/>
          <w:iCs/>
        </w:rPr>
        <w:t>1° a) L'Etat, la Caisse de la dette publique et la Caisse d'amortissement de la dette sociale ;</w:t>
      </w:r>
    </w:p>
    <w:p w14:paraId="01A35BDE" w14:textId="77777777" w:rsidR="00DF792A" w:rsidRPr="00DF792A" w:rsidRDefault="00DF792A" w:rsidP="00DF792A">
      <w:pPr>
        <w:jc w:val="both"/>
        <w:rPr>
          <w:rFonts w:ascii="Arial" w:hAnsi="Arial" w:cs="Arial"/>
          <w:i/>
          <w:iCs/>
        </w:rPr>
      </w:pPr>
      <w:r w:rsidRPr="00DF792A">
        <w:rPr>
          <w:rFonts w:ascii="Arial" w:hAnsi="Arial" w:cs="Arial"/>
          <w:i/>
          <w:iCs/>
        </w:rPr>
        <w:t>b) La Banque de France ;</w:t>
      </w:r>
    </w:p>
    <w:p w14:paraId="730801F4" w14:textId="77777777" w:rsidR="00DF792A" w:rsidRPr="00DF792A" w:rsidRDefault="00DF792A" w:rsidP="00DF792A">
      <w:pPr>
        <w:jc w:val="both"/>
        <w:rPr>
          <w:rFonts w:ascii="Arial" w:hAnsi="Arial" w:cs="Arial"/>
          <w:i/>
          <w:iCs/>
        </w:rPr>
      </w:pPr>
      <w:r w:rsidRPr="00DF792A">
        <w:rPr>
          <w:rFonts w:ascii="Arial" w:hAnsi="Arial" w:cs="Arial"/>
          <w:i/>
          <w:iCs/>
        </w:rPr>
        <w:t>c) L'Institut d'émission des départements d'outre-mer et l'Institut d'émission d'outre-mer :</w:t>
      </w:r>
    </w:p>
    <w:p w14:paraId="153FD139" w14:textId="77777777" w:rsidR="00DF792A" w:rsidRPr="00DF792A" w:rsidRDefault="00DF792A" w:rsidP="00DF792A">
      <w:pPr>
        <w:jc w:val="both"/>
        <w:rPr>
          <w:rFonts w:ascii="Arial" w:hAnsi="Arial" w:cs="Arial"/>
          <w:i/>
          <w:iCs/>
        </w:rPr>
      </w:pPr>
    </w:p>
    <w:p w14:paraId="4C4A4628" w14:textId="77777777" w:rsidR="00DF792A" w:rsidRPr="00DF792A" w:rsidRDefault="00DF792A" w:rsidP="00DF792A">
      <w:pPr>
        <w:jc w:val="both"/>
        <w:rPr>
          <w:rFonts w:ascii="Arial" w:hAnsi="Arial" w:cs="Arial"/>
          <w:i/>
          <w:iCs/>
        </w:rPr>
      </w:pPr>
      <w:r w:rsidRPr="00DF792A">
        <w:rPr>
          <w:rFonts w:ascii="Arial" w:hAnsi="Arial" w:cs="Arial"/>
          <w:i/>
          <w:iCs/>
        </w:rPr>
        <w:t>2° a) Les entreprises d'assurance et de réassurance régies par le code des assurances ;</w:t>
      </w:r>
    </w:p>
    <w:p w14:paraId="58724D30" w14:textId="77777777" w:rsidR="00DF792A" w:rsidRPr="00DF792A" w:rsidRDefault="00DF792A" w:rsidP="00DF792A">
      <w:pPr>
        <w:jc w:val="both"/>
        <w:rPr>
          <w:rFonts w:ascii="Arial" w:hAnsi="Arial" w:cs="Arial"/>
          <w:i/>
          <w:iCs/>
        </w:rPr>
      </w:pPr>
      <w:r w:rsidRPr="00DF792A">
        <w:rPr>
          <w:rFonts w:ascii="Arial" w:hAnsi="Arial" w:cs="Arial"/>
          <w:i/>
          <w:iCs/>
        </w:rPr>
        <w:t>b) Les placements collectifs mentionnés au I de l'article L. 214-1 ainsi que leurs sociétés de gestion de portefeuille ;</w:t>
      </w:r>
    </w:p>
    <w:p w14:paraId="3408106A" w14:textId="77777777" w:rsidR="00DF792A" w:rsidRPr="00DF792A" w:rsidRDefault="00DF792A" w:rsidP="00DF792A">
      <w:pPr>
        <w:jc w:val="both"/>
        <w:rPr>
          <w:rFonts w:ascii="Arial" w:hAnsi="Arial" w:cs="Arial"/>
          <w:i/>
          <w:iCs/>
        </w:rPr>
      </w:pPr>
      <w:r w:rsidRPr="00DF792A">
        <w:rPr>
          <w:rFonts w:ascii="Arial" w:hAnsi="Arial" w:cs="Arial"/>
          <w:i/>
          <w:iCs/>
        </w:rPr>
        <w:t>(…)</w:t>
      </w:r>
    </w:p>
    <w:p w14:paraId="346A9484" w14:textId="77777777" w:rsidR="00DF792A" w:rsidRPr="00DF792A" w:rsidRDefault="00DF792A" w:rsidP="00DF792A">
      <w:pPr>
        <w:jc w:val="both"/>
        <w:rPr>
          <w:rFonts w:ascii="Arial" w:hAnsi="Arial" w:cs="Arial"/>
          <w:i/>
          <w:iCs/>
        </w:rPr>
      </w:pPr>
      <w:r w:rsidRPr="00DF792A">
        <w:rPr>
          <w:rFonts w:ascii="Arial" w:hAnsi="Arial" w:cs="Arial"/>
          <w:i/>
          <w:iCs/>
        </w:rPr>
        <w:t>e) Les entreprises dont les activités de services d'investissement se limitent à la gestion d'un système d'épargne salariale ;</w:t>
      </w:r>
    </w:p>
    <w:p w14:paraId="77D055E7" w14:textId="77777777" w:rsidR="00DF792A" w:rsidRPr="00DF792A" w:rsidRDefault="00DF792A" w:rsidP="00DF792A">
      <w:pPr>
        <w:jc w:val="both"/>
        <w:rPr>
          <w:rFonts w:ascii="Arial" w:hAnsi="Arial" w:cs="Arial"/>
          <w:i/>
          <w:iCs/>
        </w:rPr>
      </w:pPr>
      <w:r w:rsidRPr="00DF792A">
        <w:rPr>
          <w:rFonts w:ascii="Arial" w:hAnsi="Arial" w:cs="Arial"/>
          <w:i/>
          <w:iCs/>
        </w:rPr>
        <w:t>f) Les entreprises dont les activités se limitent à celles mentionnées aux d et e ci-dessus ;</w:t>
      </w:r>
    </w:p>
    <w:p w14:paraId="0E7C89D7" w14:textId="77777777" w:rsidR="00DF792A" w:rsidRPr="00DF792A" w:rsidRDefault="00DF792A" w:rsidP="00DF792A">
      <w:pPr>
        <w:jc w:val="both"/>
        <w:rPr>
          <w:rFonts w:ascii="Arial" w:hAnsi="Arial" w:cs="Arial"/>
          <w:i/>
          <w:iCs/>
        </w:rPr>
      </w:pPr>
      <w:r w:rsidRPr="00DF792A">
        <w:rPr>
          <w:rFonts w:ascii="Arial" w:hAnsi="Arial" w:cs="Arial"/>
          <w:i/>
          <w:iCs/>
        </w:rPr>
        <w:t>g) Les personnes qui fournissent un service d'investissement à titre accessoire dans le cadre d'une activité professionnelle au sens de l'article 4 du règlement délégué (UE) 2017/565, dans la mesure où celle-ci est régie par des dispositions législatives ou réglementaires ou par un code de déontologie qui n'excluent pas la fourniture de ce service ; (…)</w:t>
      </w:r>
      <w:r w:rsidRPr="00DF792A">
        <w:rPr>
          <w:rFonts w:ascii="Arial" w:hAnsi="Arial" w:cs="Arial"/>
        </w:rPr>
        <w:t> »</w:t>
      </w:r>
    </w:p>
    <w:p w14:paraId="5AC0A797" w14:textId="77777777" w:rsidR="00944A74" w:rsidRPr="00DF792A" w:rsidRDefault="00944A74" w:rsidP="00DF792A">
      <w:pPr>
        <w:jc w:val="both"/>
        <w:rPr>
          <w:rFonts w:ascii="Arial" w:hAnsi="Arial" w:cs="Arial"/>
        </w:rPr>
      </w:pPr>
    </w:p>
    <w:p w14:paraId="2BEA2552" w14:textId="77777777" w:rsidR="00944A74" w:rsidRPr="00DF792A" w:rsidRDefault="00944A74" w:rsidP="00DF792A">
      <w:pPr>
        <w:jc w:val="both"/>
        <w:rPr>
          <w:rFonts w:ascii="Arial" w:hAnsi="Arial" w:cs="Arial"/>
        </w:rPr>
      </w:pPr>
    </w:p>
    <w:p w14:paraId="50A68FFB" w14:textId="77777777" w:rsidR="00BF393C" w:rsidRPr="00DF792A" w:rsidRDefault="00BF393C" w:rsidP="00DF792A">
      <w:pPr>
        <w:jc w:val="both"/>
        <w:rPr>
          <w:rFonts w:ascii="Arial" w:hAnsi="Arial" w:cs="Arial"/>
        </w:rPr>
      </w:pPr>
    </w:p>
    <w:sectPr w:rsidR="00BF393C" w:rsidRPr="00DF792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95599" w14:textId="77777777" w:rsidR="00DF792A" w:rsidRDefault="00DF792A" w:rsidP="00DF792A">
      <w:r>
        <w:separator/>
      </w:r>
    </w:p>
  </w:endnote>
  <w:endnote w:type="continuationSeparator" w:id="0">
    <w:p w14:paraId="51C4CCC9" w14:textId="77777777" w:rsidR="00DF792A" w:rsidRDefault="00DF792A" w:rsidP="00DF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07FA1" w14:textId="77777777" w:rsidR="00DF792A" w:rsidRDefault="00DF792A" w:rsidP="00256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5D05CC" w14:textId="77777777" w:rsidR="00DF792A" w:rsidRDefault="00DF792A" w:rsidP="00DF792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B628" w14:textId="77777777" w:rsidR="00DF792A" w:rsidRDefault="00DF792A" w:rsidP="00256F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01632">
      <w:rPr>
        <w:rStyle w:val="Numrodepage"/>
        <w:noProof/>
      </w:rPr>
      <w:t>1</w:t>
    </w:r>
    <w:r>
      <w:rPr>
        <w:rStyle w:val="Numrodepage"/>
      </w:rPr>
      <w:fldChar w:fldCharType="end"/>
    </w:r>
  </w:p>
  <w:p w14:paraId="7D8A0E92" w14:textId="77777777" w:rsidR="00DF792A" w:rsidRDefault="00DF792A" w:rsidP="00DF792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7E2E" w14:textId="77777777" w:rsidR="00DF792A" w:rsidRDefault="00DF792A" w:rsidP="00DF792A">
      <w:r>
        <w:separator/>
      </w:r>
    </w:p>
  </w:footnote>
  <w:footnote w:type="continuationSeparator" w:id="0">
    <w:p w14:paraId="4DC37E2C" w14:textId="77777777" w:rsidR="00DF792A" w:rsidRDefault="00DF792A" w:rsidP="00DF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B8"/>
    <w:rsid w:val="00110FE2"/>
    <w:rsid w:val="00201632"/>
    <w:rsid w:val="00325FF0"/>
    <w:rsid w:val="003B417D"/>
    <w:rsid w:val="004F6AF8"/>
    <w:rsid w:val="006706BC"/>
    <w:rsid w:val="006E78FF"/>
    <w:rsid w:val="00944A74"/>
    <w:rsid w:val="00973E54"/>
    <w:rsid w:val="00AB6A7C"/>
    <w:rsid w:val="00AE726E"/>
    <w:rsid w:val="00BB4C4E"/>
    <w:rsid w:val="00BF393C"/>
    <w:rsid w:val="00C62AB8"/>
    <w:rsid w:val="00CD2095"/>
    <w:rsid w:val="00DF792A"/>
    <w:rsid w:val="00EF2D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5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F792A"/>
    <w:pPr>
      <w:tabs>
        <w:tab w:val="center" w:pos="4536"/>
        <w:tab w:val="right" w:pos="9072"/>
      </w:tabs>
    </w:pPr>
  </w:style>
  <w:style w:type="character" w:customStyle="1" w:styleId="PieddepageCar">
    <w:name w:val="Pied de page Car"/>
    <w:basedOn w:val="Policepardfaut"/>
    <w:link w:val="Pieddepage"/>
    <w:uiPriority w:val="99"/>
    <w:rsid w:val="00DF792A"/>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DF79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F792A"/>
    <w:pPr>
      <w:tabs>
        <w:tab w:val="center" w:pos="4536"/>
        <w:tab w:val="right" w:pos="9072"/>
      </w:tabs>
    </w:pPr>
  </w:style>
  <w:style w:type="character" w:customStyle="1" w:styleId="PieddepageCar">
    <w:name w:val="Pied de page Car"/>
    <w:basedOn w:val="Policepardfaut"/>
    <w:link w:val="Pieddepage"/>
    <w:uiPriority w:val="99"/>
    <w:rsid w:val="00DF792A"/>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DF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97D37D-6C1E-134F-8AFF-A1BC228D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7291</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Diana Villegas</cp:lastModifiedBy>
  <cp:revision>2</cp:revision>
  <dcterms:created xsi:type="dcterms:W3CDTF">2021-04-26T18:58:00Z</dcterms:created>
  <dcterms:modified xsi:type="dcterms:W3CDTF">2021-04-26T18:58:00Z</dcterms:modified>
</cp:coreProperties>
</file>